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16" w:lineRule="auto"/>
        <w:ind w:left="0" w:firstLine="0"/>
        <w:rPr>
          <w:rFonts w:ascii="Inter" w:cs="Inter" w:eastAsia="Inter" w:hAnsi="Inter"/>
          <w:color w:val="434343"/>
          <w:sz w:val="36"/>
          <w:szCs w:val="36"/>
        </w:rPr>
      </w:pPr>
      <w:r w:rsidDel="00000000" w:rsidR="00000000" w:rsidRPr="00000000">
        <w:rPr>
          <w:rFonts w:ascii="Inter" w:cs="Inter" w:eastAsia="Inter" w:hAnsi="Inter"/>
          <w:color w:val="434343"/>
          <w:sz w:val="36"/>
          <w:szCs w:val="36"/>
          <w:rtl w:val="0"/>
        </w:rPr>
        <w:t xml:space="preserve">Auf einen Blick</w:t>
      </w:r>
    </w:p>
    <w:p w:rsidR="00000000" w:rsidDel="00000000" w:rsidP="00000000" w:rsidRDefault="00000000" w:rsidRPr="00000000" w14:paraId="00000002">
      <w:pPr>
        <w:spacing w:line="216" w:lineRule="auto"/>
        <w:ind w:left="0" w:firstLine="0"/>
        <w:rPr>
          <w:rFonts w:ascii="Inter" w:cs="Inter" w:eastAsia="Inter" w:hAnsi="Inter"/>
          <w:color w:val="434343"/>
          <w:sz w:val="16"/>
          <w:szCs w:val="16"/>
        </w:rPr>
      </w:pPr>
      <w:r w:rsidDel="00000000" w:rsidR="00000000" w:rsidRPr="00000000">
        <w:rPr>
          <w:rFonts w:ascii="Inter" w:cs="Inter" w:eastAsia="Inter" w:hAnsi="Inter"/>
          <w:color w:val="434343"/>
          <w:sz w:val="16"/>
          <w:szCs w:val="16"/>
          <w:rtl w:val="0"/>
        </w:rPr>
        <w:t xml:space="preserve">Stand: Dezember 2024</w:t>
      </w:r>
    </w:p>
    <w:p w:rsidR="00000000" w:rsidDel="00000000" w:rsidP="00000000" w:rsidRDefault="00000000" w:rsidRPr="00000000" w14:paraId="00000003">
      <w:pPr>
        <w:shd w:fill="ffffff" w:val="clear"/>
        <w:spacing w:line="276" w:lineRule="auto"/>
        <w:jc w:val="left"/>
        <w:rPr>
          <w:rFonts w:ascii="Inter" w:cs="Inter" w:eastAsia="Inter" w:hAnsi="Inter"/>
          <w:color w:val="434343"/>
          <w:sz w:val="20"/>
          <w:szCs w:val="20"/>
        </w:rPr>
      </w:pPr>
      <w:r w:rsidDel="00000000" w:rsidR="00000000" w:rsidRPr="00000000">
        <w:rPr>
          <w:rtl w:val="0"/>
        </w:rPr>
      </w:r>
    </w:p>
    <w:p w:rsidR="00000000" w:rsidDel="00000000" w:rsidP="00000000" w:rsidRDefault="00000000" w:rsidRPr="00000000" w14:paraId="00000004">
      <w:pPr>
        <w:widowControl w:val="0"/>
        <w:spacing w:before="8" w:line="240" w:lineRule="auto"/>
        <w:ind w:left="309" w:firstLine="0"/>
        <w:jc w:val="center"/>
        <w:rPr>
          <w:rFonts w:ascii="Inter" w:cs="Inter" w:eastAsia="Inter" w:hAnsi="Inter"/>
          <w:color w:val="434343"/>
          <w:sz w:val="20"/>
          <w:szCs w:val="20"/>
        </w:rPr>
      </w:pPr>
      <w:r w:rsidDel="00000000" w:rsidR="00000000" w:rsidRPr="00000000">
        <w:rPr>
          <w:rFonts w:ascii="Inter" w:cs="Inter" w:eastAsia="Inter" w:hAnsi="Inter"/>
          <w:color w:val="434343"/>
          <w:sz w:val="20"/>
          <w:szCs w:val="20"/>
          <w:rtl w:val="0"/>
        </w:rPr>
        <w:t xml:space="preserve">Scalable Capital ist eine führende digitale Investmentplattform in Europa. </w:t>
      </w:r>
    </w:p>
    <w:p w:rsidR="00000000" w:rsidDel="00000000" w:rsidP="00000000" w:rsidRDefault="00000000" w:rsidRPr="00000000" w14:paraId="00000005">
      <w:pPr>
        <w:widowControl w:val="0"/>
        <w:spacing w:before="8" w:line="240" w:lineRule="auto"/>
        <w:ind w:left="309" w:firstLine="0"/>
        <w:jc w:val="center"/>
        <w:rPr>
          <w:rFonts w:ascii="Inter" w:cs="Inter" w:eastAsia="Inter" w:hAnsi="Inter"/>
          <w:color w:val="434343"/>
          <w:sz w:val="18"/>
          <w:szCs w:val="18"/>
        </w:rPr>
      </w:pPr>
      <w:r w:rsidDel="00000000" w:rsidR="00000000" w:rsidRPr="00000000">
        <w:rPr>
          <w:rFonts w:ascii="Inter" w:cs="Inter" w:eastAsia="Inter" w:hAnsi="Inter"/>
          <w:color w:val="434343"/>
          <w:sz w:val="20"/>
          <w:szCs w:val="20"/>
          <w:rtl w:val="0"/>
        </w:rPr>
        <w:t xml:space="preserve">Das Fintech will allen Menschen ermöglichen, ihre Finanzen aktiv zu gestalten. </w:t>
      </w:r>
      <w:r w:rsidDel="00000000" w:rsidR="00000000" w:rsidRPr="00000000">
        <w:rPr>
          <w:rtl w:val="0"/>
        </w:rPr>
      </w:r>
    </w:p>
    <w:p w:rsidR="00000000" w:rsidDel="00000000" w:rsidP="00000000" w:rsidRDefault="00000000" w:rsidRPr="00000000" w14:paraId="00000006">
      <w:pPr>
        <w:spacing w:line="276" w:lineRule="auto"/>
        <w:ind w:left="0" w:firstLine="0"/>
        <w:rPr>
          <w:rFonts w:ascii="Inter" w:cs="Inter" w:eastAsia="Inter" w:hAnsi="Inter"/>
          <w:color w:val="434343"/>
          <w:sz w:val="20"/>
          <w:szCs w:val="20"/>
        </w:rPr>
      </w:pPr>
      <w:r w:rsidDel="00000000" w:rsidR="00000000" w:rsidRPr="00000000">
        <w:rPr>
          <w:rtl w:val="0"/>
        </w:rPr>
      </w:r>
    </w:p>
    <w:tbl>
      <w:tblPr>
        <w:tblStyle w:val="Table1"/>
        <w:tblW w:w="9330.0" w:type="dxa"/>
        <w:jc w:val="left"/>
        <w:tblInd w:w="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40"/>
        <w:gridCol w:w="6690"/>
        <w:tblGridChange w:id="0">
          <w:tblGrid>
            <w:gridCol w:w="2640"/>
            <w:gridCol w:w="6690"/>
          </w:tblGrid>
        </w:tblGridChange>
      </w:tblGrid>
      <w:tr>
        <w:trPr>
          <w:cantSplit w:val="0"/>
          <w:trHeight w:val="935.9765625" w:hRule="atLeast"/>
          <w:tblHeader w:val="0"/>
        </w:trPr>
        <w:tc>
          <w:tcPr>
            <w:tcBorders>
              <w:top w:color="ffffff" w:space="0" w:sz="8" w:val="single"/>
              <w:left w:color="ffffff" w:space="0" w:sz="8" w:val="single"/>
              <w:bottom w:color="ffffff" w:space="0" w:sz="8" w:val="single"/>
              <w:right w:color="efefe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color w:val="434343"/>
                <w:sz w:val="20"/>
                <w:szCs w:val="20"/>
              </w:rPr>
            </w:pPr>
            <w:r w:rsidDel="00000000" w:rsidR="00000000" w:rsidRPr="00000000">
              <w:rPr>
                <w:rFonts w:ascii="Inter" w:cs="Inter" w:eastAsia="Inter" w:hAnsi="Inter"/>
                <w:color w:val="434343"/>
                <w:sz w:val="20"/>
                <w:szCs w:val="20"/>
                <w:rtl w:val="0"/>
              </w:rPr>
              <w:t xml:space="preserve">Online-Broker - Marktpräsenz</w:t>
            </w:r>
          </w:p>
        </w:tc>
        <w:tc>
          <w:tcPr>
            <w:tcBorders>
              <w:top w:color="ffffff" w:space="0" w:sz="8" w:val="single"/>
              <w:left w:color="efefef" w:space="0" w:sz="8" w:val="single"/>
              <w:bottom w:color="ffffff" w:space="0" w:sz="8" w:val="single"/>
              <w:right w:color="fffff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08">
            <w:pPr>
              <w:widowControl w:val="0"/>
              <w:rPr>
                <w:rFonts w:ascii="Inter" w:cs="Inter" w:eastAsia="Inter" w:hAnsi="Inter"/>
                <w:color w:val="434343"/>
                <w:sz w:val="20"/>
                <w:szCs w:val="20"/>
              </w:rPr>
            </w:pPr>
            <w:r w:rsidDel="00000000" w:rsidR="00000000" w:rsidRPr="00000000">
              <w:rPr>
                <w:rFonts w:ascii="Inter" w:cs="Inter" w:eastAsia="Inter" w:hAnsi="Inter"/>
                <w:color w:val="434343"/>
                <w:sz w:val="20"/>
                <w:szCs w:val="20"/>
                <w:rtl w:val="0"/>
              </w:rPr>
              <w:t xml:space="preserve">Deutschland, Frankreich, Italien, Niederlande, Österreich, Spanien</w:t>
            </w:r>
          </w:p>
        </w:tc>
      </w:tr>
      <w:tr>
        <w:trPr>
          <w:cantSplit w:val="0"/>
          <w:trHeight w:val="935.9765625" w:hRule="atLeast"/>
          <w:tblHeader w:val="0"/>
        </w:trPr>
        <w:tc>
          <w:tcPr>
            <w:tcBorders>
              <w:top w:color="ffffff" w:space="0" w:sz="8" w:val="single"/>
              <w:left w:color="ffffff" w:space="0" w:sz="8" w:val="single"/>
              <w:bottom w:color="ffffff" w:space="0" w:sz="8" w:val="single"/>
              <w:right w:color="efefe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color w:val="434343"/>
                <w:sz w:val="20"/>
                <w:szCs w:val="20"/>
              </w:rPr>
            </w:pPr>
            <w:r w:rsidDel="00000000" w:rsidR="00000000" w:rsidRPr="00000000">
              <w:rPr>
                <w:rFonts w:ascii="Inter" w:cs="Inter" w:eastAsia="Inter" w:hAnsi="Inter"/>
                <w:color w:val="434343"/>
                <w:sz w:val="20"/>
                <w:szCs w:val="20"/>
                <w:rtl w:val="0"/>
              </w:rPr>
              <w:t xml:space="preserve">Digitale Vermögensverwaltung - Marktpräsenz</w:t>
            </w:r>
          </w:p>
        </w:tc>
        <w:tc>
          <w:tcPr>
            <w:tcBorders>
              <w:top w:color="ffffff" w:space="0" w:sz="8" w:val="single"/>
              <w:left w:color="efefe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color w:val="434343"/>
                <w:sz w:val="20"/>
                <w:szCs w:val="20"/>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color w:val="434343"/>
                <w:sz w:val="20"/>
                <w:szCs w:val="20"/>
              </w:rPr>
            </w:pPr>
            <w:r w:rsidDel="00000000" w:rsidR="00000000" w:rsidRPr="00000000">
              <w:rPr>
                <w:rFonts w:ascii="Inter" w:cs="Inter" w:eastAsia="Inter" w:hAnsi="Inter"/>
                <w:color w:val="434343"/>
                <w:sz w:val="20"/>
                <w:szCs w:val="20"/>
                <w:rtl w:val="0"/>
              </w:rPr>
              <w:t xml:space="preserve">Deutschland, Österreich</w:t>
            </w:r>
          </w:p>
        </w:tc>
      </w:tr>
      <w:tr>
        <w:trPr>
          <w:cantSplit w:val="0"/>
          <w:trHeight w:val="935.9765625" w:hRule="atLeast"/>
          <w:tblHeader w:val="0"/>
        </w:trPr>
        <w:tc>
          <w:tcPr>
            <w:tcBorders>
              <w:top w:color="ffffff" w:space="0" w:sz="8" w:val="single"/>
              <w:left w:color="ffffff" w:space="0" w:sz="8" w:val="single"/>
              <w:bottom w:color="ffffff" w:space="0" w:sz="8" w:val="single"/>
              <w:right w:color="fffff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color w:val="434343"/>
                <w:sz w:val="20"/>
                <w:szCs w:val="20"/>
              </w:rPr>
            </w:pPr>
            <w:r w:rsidDel="00000000" w:rsidR="00000000" w:rsidRPr="00000000">
              <w:rPr>
                <w:rFonts w:ascii="Inter" w:cs="Inter" w:eastAsia="Inter" w:hAnsi="Inter"/>
                <w:color w:val="434343"/>
                <w:sz w:val="20"/>
                <w:szCs w:val="20"/>
                <w:rtl w:val="0"/>
              </w:rPr>
              <w:t xml:space="preserve">Zulassung (der regulierten Einheit)</w:t>
            </w:r>
          </w:p>
        </w:tc>
        <w:tc>
          <w:tcPr>
            <w:tcBorders>
              <w:top w:color="ffffff" w:space="0" w:sz="8" w:val="single"/>
              <w:left w:color="ffffff" w:space="0" w:sz="8" w:val="single"/>
              <w:bottom w:color="ffffff" w:space="0" w:sz="8" w:val="single"/>
              <w:right w:color="fffff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color w:val="434343"/>
                <w:sz w:val="20"/>
                <w:szCs w:val="20"/>
              </w:rPr>
            </w:pPr>
            <w:r w:rsidDel="00000000" w:rsidR="00000000" w:rsidRPr="00000000">
              <w:rPr>
                <w:rFonts w:ascii="Inter" w:cs="Inter" w:eastAsia="Inter" w:hAnsi="Inter"/>
                <w:color w:val="434343"/>
                <w:sz w:val="20"/>
                <w:szCs w:val="20"/>
                <w:rtl w:val="0"/>
              </w:rPr>
              <w:t xml:space="preserve">Wertpapierinstitut nach §15 WpIG (BaFin-Erlaubnis)*</w:t>
            </w:r>
          </w:p>
        </w:tc>
      </w:tr>
      <w:tr>
        <w:trPr>
          <w:cantSplit w:val="0"/>
          <w:trHeight w:val="935.9765625" w:hRule="atLeast"/>
          <w:tblHeader w:val="0"/>
        </w:trPr>
        <w:tc>
          <w:tcPr>
            <w:tcBorders>
              <w:top w:color="ffffff" w:space="0" w:sz="8" w:val="single"/>
              <w:left w:color="ffffff" w:space="0" w:sz="8" w:val="single"/>
              <w:bottom w:color="ffffff" w:space="0" w:sz="8" w:val="single"/>
              <w:right w:color="efefe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color w:val="434343"/>
                <w:sz w:val="20"/>
                <w:szCs w:val="20"/>
              </w:rPr>
            </w:pPr>
            <w:r w:rsidDel="00000000" w:rsidR="00000000" w:rsidRPr="00000000">
              <w:rPr>
                <w:rFonts w:ascii="Inter" w:cs="Inter" w:eastAsia="Inter" w:hAnsi="Inter"/>
                <w:color w:val="434343"/>
                <w:sz w:val="20"/>
                <w:szCs w:val="20"/>
                <w:rtl w:val="0"/>
              </w:rPr>
              <w:t xml:space="preserve">Gründung</w:t>
            </w:r>
          </w:p>
        </w:tc>
        <w:tc>
          <w:tcPr>
            <w:tcBorders>
              <w:top w:color="ffffff" w:space="0" w:sz="8" w:val="single"/>
              <w:left w:color="efefe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color w:val="434343"/>
                <w:sz w:val="20"/>
                <w:szCs w:val="20"/>
              </w:rPr>
            </w:pPr>
            <w:r w:rsidDel="00000000" w:rsidR="00000000" w:rsidRPr="00000000">
              <w:rPr>
                <w:rFonts w:ascii="Inter" w:cs="Inter" w:eastAsia="Inter" w:hAnsi="Inter"/>
                <w:color w:val="434343"/>
                <w:sz w:val="20"/>
                <w:szCs w:val="20"/>
                <w:rtl w:val="0"/>
              </w:rPr>
              <w:t xml:space="preserve">Dezember 2014</w:t>
            </w:r>
          </w:p>
        </w:tc>
      </w:tr>
      <w:tr>
        <w:trPr>
          <w:cantSplit w:val="0"/>
          <w:trHeight w:val="935.9765625" w:hRule="atLeast"/>
          <w:tblHeader w:val="0"/>
        </w:trPr>
        <w:tc>
          <w:tcPr>
            <w:tcBorders>
              <w:top w:color="ffffff" w:space="0" w:sz="8" w:val="single"/>
              <w:left w:color="ffffff" w:space="0" w:sz="8" w:val="single"/>
              <w:bottom w:color="ffffff" w:space="0" w:sz="8" w:val="single"/>
              <w:right w:color="fffff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color w:val="434343"/>
                <w:sz w:val="20"/>
                <w:szCs w:val="20"/>
              </w:rPr>
            </w:pPr>
            <w:r w:rsidDel="00000000" w:rsidR="00000000" w:rsidRPr="00000000">
              <w:rPr>
                <w:rFonts w:ascii="Inter" w:cs="Inter" w:eastAsia="Inter" w:hAnsi="Inter"/>
                <w:color w:val="434343"/>
                <w:sz w:val="20"/>
                <w:szCs w:val="20"/>
                <w:rtl w:val="0"/>
              </w:rPr>
              <w:t xml:space="preserve">Offices</w:t>
            </w:r>
          </w:p>
        </w:tc>
        <w:tc>
          <w:tcPr>
            <w:tcBorders>
              <w:top w:color="ffffff" w:space="0" w:sz="8" w:val="single"/>
              <w:left w:color="ffffff" w:space="0" w:sz="8" w:val="single"/>
              <w:bottom w:color="ffffff" w:space="0" w:sz="8" w:val="single"/>
              <w:right w:color="fffff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color w:val="434343"/>
                <w:sz w:val="20"/>
                <w:szCs w:val="20"/>
              </w:rPr>
            </w:pPr>
            <w:r w:rsidDel="00000000" w:rsidR="00000000" w:rsidRPr="00000000">
              <w:rPr>
                <w:rFonts w:ascii="Inter" w:cs="Inter" w:eastAsia="Inter" w:hAnsi="Inter"/>
                <w:color w:val="434343"/>
                <w:sz w:val="20"/>
                <w:szCs w:val="20"/>
                <w:rtl w:val="0"/>
              </w:rPr>
              <w:t xml:space="preserve">München, Berlin, London, Wien</w:t>
            </w:r>
          </w:p>
        </w:tc>
      </w:tr>
      <w:tr>
        <w:trPr>
          <w:cantSplit w:val="0"/>
          <w:trHeight w:val="935.9765625" w:hRule="atLeast"/>
          <w:tblHeader w:val="0"/>
        </w:trPr>
        <w:tc>
          <w:tcPr>
            <w:tcBorders>
              <w:top w:color="ffffff" w:space="0" w:sz="8" w:val="single"/>
              <w:left w:color="ffffff" w:space="0" w:sz="8" w:val="single"/>
              <w:bottom w:color="ffffff" w:space="0" w:sz="8" w:val="single"/>
              <w:right w:color="efefe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color w:val="434343"/>
                <w:sz w:val="20"/>
                <w:szCs w:val="20"/>
              </w:rPr>
            </w:pPr>
            <w:r w:rsidDel="00000000" w:rsidR="00000000" w:rsidRPr="00000000">
              <w:rPr>
                <w:rFonts w:ascii="Inter" w:cs="Inter" w:eastAsia="Inter" w:hAnsi="Inter"/>
                <w:color w:val="434343"/>
                <w:sz w:val="20"/>
                <w:szCs w:val="20"/>
                <w:rtl w:val="0"/>
              </w:rPr>
              <w:t xml:space="preserve">Mitarbeitende</w:t>
            </w:r>
          </w:p>
        </w:tc>
        <w:tc>
          <w:tcPr>
            <w:tcBorders>
              <w:top w:color="ffffff" w:space="0" w:sz="8" w:val="single"/>
              <w:left w:color="efefe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color w:val="434343"/>
                <w:sz w:val="20"/>
                <w:szCs w:val="20"/>
              </w:rPr>
            </w:pPr>
            <w:r w:rsidDel="00000000" w:rsidR="00000000" w:rsidRPr="00000000">
              <w:rPr>
                <w:rFonts w:ascii="Inter" w:cs="Inter" w:eastAsia="Inter" w:hAnsi="Inter"/>
                <w:color w:val="434343"/>
                <w:sz w:val="20"/>
                <w:szCs w:val="20"/>
                <w:rtl w:val="0"/>
              </w:rPr>
              <w:t xml:space="preserve">&gt; 50</w:t>
            </w:r>
            <w:r w:rsidDel="00000000" w:rsidR="00000000" w:rsidRPr="00000000">
              <w:rPr>
                <w:rFonts w:ascii="Inter" w:cs="Inter" w:eastAsia="Inter" w:hAnsi="Inter"/>
                <w:color w:val="434343"/>
                <w:sz w:val="20"/>
                <w:szCs w:val="20"/>
                <w:rtl w:val="0"/>
              </w:rPr>
              <w:t xml:space="preserve">0</w:t>
            </w:r>
          </w:p>
        </w:tc>
      </w:tr>
      <w:tr>
        <w:trPr>
          <w:cantSplit w:val="0"/>
          <w:trHeight w:val="935.9765625" w:hRule="atLeast"/>
          <w:tblHeader w:val="0"/>
        </w:trPr>
        <w:tc>
          <w:tcPr>
            <w:tcBorders>
              <w:top w:color="ffffff" w:space="0" w:sz="8" w:val="single"/>
              <w:left w:color="ffffff" w:space="0" w:sz="8" w:val="single"/>
              <w:bottom w:color="ffffff" w:space="0" w:sz="8" w:val="single"/>
              <w:right w:color="efefe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color w:val="434343"/>
                <w:sz w:val="20"/>
                <w:szCs w:val="20"/>
              </w:rPr>
            </w:pPr>
            <w:r w:rsidDel="00000000" w:rsidR="00000000" w:rsidRPr="00000000">
              <w:rPr>
                <w:rFonts w:ascii="Inter" w:cs="Inter" w:eastAsia="Inter" w:hAnsi="Inter"/>
                <w:color w:val="434343"/>
                <w:sz w:val="20"/>
                <w:szCs w:val="20"/>
                <w:rtl w:val="0"/>
              </w:rPr>
              <w:t xml:space="preserve">Gründer</w:t>
            </w:r>
          </w:p>
        </w:tc>
        <w:tc>
          <w:tcPr>
            <w:tcBorders>
              <w:top w:color="ffffff" w:space="0" w:sz="8" w:val="single"/>
              <w:left w:color="efefef" w:space="0" w:sz="8" w:val="single"/>
              <w:bottom w:color="ffffff" w:space="0" w:sz="8" w:val="single"/>
              <w:right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color w:val="434343"/>
                <w:sz w:val="20"/>
                <w:szCs w:val="20"/>
              </w:rPr>
            </w:pPr>
            <w:r w:rsidDel="00000000" w:rsidR="00000000" w:rsidRPr="00000000">
              <w:rPr>
                <w:rFonts w:ascii="Inter" w:cs="Inter" w:eastAsia="Inter" w:hAnsi="Inter"/>
                <w:color w:val="434343"/>
                <w:sz w:val="20"/>
                <w:szCs w:val="20"/>
                <w:rtl w:val="0"/>
              </w:rPr>
              <w:t xml:space="preserve">Erik Podzuweit, Florian Prucker, Adam French, Prof. Dr. Stefan Mittnik</w:t>
            </w:r>
          </w:p>
        </w:tc>
      </w:tr>
      <w:tr>
        <w:trPr>
          <w:cantSplit w:val="0"/>
          <w:trHeight w:val="935.9765625" w:hRule="atLeast"/>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color w:val="434343"/>
                <w:sz w:val="20"/>
                <w:szCs w:val="20"/>
              </w:rPr>
            </w:pPr>
            <w:r w:rsidDel="00000000" w:rsidR="00000000" w:rsidRPr="00000000">
              <w:rPr>
                <w:rFonts w:ascii="Inter" w:cs="Inter" w:eastAsia="Inter" w:hAnsi="Inter"/>
                <w:color w:val="434343"/>
                <w:sz w:val="20"/>
                <w:szCs w:val="20"/>
                <w:rtl w:val="0"/>
              </w:rPr>
              <w:t xml:space="preserve">Geschäftsführung</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rPr>
                <w:rFonts w:ascii="Inter" w:cs="Inter" w:eastAsia="Inter" w:hAnsi="Inter"/>
                <w:color w:val="434343"/>
                <w:sz w:val="20"/>
                <w:szCs w:val="20"/>
              </w:rPr>
            </w:pPr>
            <w:r w:rsidDel="00000000" w:rsidR="00000000" w:rsidRPr="00000000">
              <w:rPr>
                <w:rFonts w:ascii="Inter" w:cs="Inter" w:eastAsia="Inter" w:hAnsi="Inter"/>
                <w:color w:val="434343"/>
                <w:sz w:val="20"/>
                <w:szCs w:val="20"/>
                <w:rtl w:val="0"/>
              </w:rPr>
              <w:t xml:space="preserve">Erik Podzuweit (Co-CEO), Florian Prucker (Co-CEO), Martin Krebs (CFO), Dirk Urmoneit (MD), Dirk Franzmeyer (MD)</w:t>
            </w:r>
          </w:p>
        </w:tc>
      </w:tr>
      <w:tr>
        <w:trPr>
          <w:cantSplit w:val="0"/>
          <w:trHeight w:val="935.9765625" w:hRule="atLeast"/>
          <w:tblHeader w:val="0"/>
        </w:trPr>
        <w:tc>
          <w:tcPr>
            <w:tcBorders>
              <w:top w:color="ffffff" w:space="0" w:sz="8" w:val="single"/>
              <w:left w:color="ffffff" w:space="0" w:sz="8" w:val="single"/>
              <w:bottom w:color="ffffff" w:space="0" w:sz="8" w:val="single"/>
              <w:right w:color="efefe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rPr>
                <w:rFonts w:ascii="Inter" w:cs="Inter" w:eastAsia="Inter" w:hAnsi="Inter"/>
                <w:color w:val="434343"/>
                <w:sz w:val="20"/>
                <w:szCs w:val="20"/>
              </w:rPr>
            </w:pPr>
            <w:r w:rsidDel="00000000" w:rsidR="00000000" w:rsidRPr="00000000">
              <w:rPr>
                <w:rFonts w:ascii="Inter" w:cs="Inter" w:eastAsia="Inter" w:hAnsi="Inter"/>
                <w:color w:val="434343"/>
                <w:sz w:val="20"/>
                <w:szCs w:val="20"/>
                <w:rtl w:val="0"/>
              </w:rPr>
              <w:t xml:space="preserve">Investoren</w:t>
            </w:r>
          </w:p>
        </w:tc>
        <w:tc>
          <w:tcPr>
            <w:tcBorders>
              <w:top w:color="ffffff" w:space="0" w:sz="8" w:val="single"/>
              <w:left w:color="efefef" w:space="0" w:sz="8" w:val="single"/>
              <w:bottom w:color="ffffff" w:space="0" w:sz="8" w:val="single"/>
              <w:right w:color="fffff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rPr>
                <w:rFonts w:ascii="Inter" w:cs="Inter" w:eastAsia="Inter" w:hAnsi="Inter"/>
                <w:color w:val="434343"/>
                <w:sz w:val="20"/>
                <w:szCs w:val="20"/>
              </w:rPr>
            </w:pPr>
            <w:r w:rsidDel="00000000" w:rsidR="00000000" w:rsidRPr="00000000">
              <w:rPr>
                <w:rFonts w:ascii="Inter" w:cs="Inter" w:eastAsia="Inter" w:hAnsi="Inter"/>
                <w:color w:val="434343"/>
                <w:sz w:val="20"/>
                <w:szCs w:val="20"/>
                <w:rtl w:val="0"/>
              </w:rPr>
              <w:t xml:space="preserve">BlackRock, Tencent, HV Capital, Tengelmann Ventures, Balderton Capital</w:t>
            </w:r>
          </w:p>
        </w:tc>
      </w:tr>
      <w:tr>
        <w:trPr>
          <w:cantSplit w:val="0"/>
          <w:trHeight w:val="935.9765625" w:hRule="atLeast"/>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rPr>
                <w:rFonts w:ascii="Inter" w:cs="Inter" w:eastAsia="Inter" w:hAnsi="Inter"/>
                <w:color w:val="434343"/>
                <w:sz w:val="20"/>
                <w:szCs w:val="20"/>
              </w:rPr>
            </w:pPr>
            <w:r w:rsidDel="00000000" w:rsidR="00000000" w:rsidRPr="00000000">
              <w:rPr>
                <w:rFonts w:ascii="Inter" w:cs="Inter" w:eastAsia="Inter" w:hAnsi="Inter"/>
                <w:color w:val="434343"/>
                <w:sz w:val="20"/>
                <w:szCs w:val="20"/>
                <w:rtl w:val="0"/>
              </w:rPr>
              <w:t xml:space="preserve">Kund</w:t>
            </w:r>
            <w:r w:rsidDel="00000000" w:rsidR="00000000" w:rsidRPr="00000000">
              <w:rPr>
                <w:rFonts w:ascii="Inter" w:cs="Inter" w:eastAsia="Inter" w:hAnsi="Inter"/>
                <w:color w:val="434343"/>
                <w:sz w:val="20"/>
                <w:szCs w:val="20"/>
                <w:rtl w:val="0"/>
              </w:rPr>
              <w:t xml:space="preserve">:innen</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rPr>
                <w:rFonts w:ascii="Inter" w:cs="Inter" w:eastAsia="Inter" w:hAnsi="Inter"/>
                <w:color w:val="434343"/>
                <w:sz w:val="20"/>
                <w:szCs w:val="20"/>
              </w:rPr>
            </w:pPr>
            <w:r w:rsidDel="00000000" w:rsidR="00000000" w:rsidRPr="00000000">
              <w:rPr>
                <w:rFonts w:ascii="Inter" w:cs="Inter" w:eastAsia="Inter" w:hAnsi="Inter"/>
                <w:color w:val="434343"/>
                <w:sz w:val="20"/>
                <w:szCs w:val="20"/>
                <w:rtl w:val="0"/>
              </w:rPr>
              <w:t xml:space="preserve">&gt; 1.000.000</w:t>
            </w:r>
          </w:p>
        </w:tc>
      </w:tr>
      <w:tr>
        <w:trPr>
          <w:cantSplit w:val="0"/>
          <w:trHeight w:val="935.9765625" w:hRule="atLeast"/>
          <w:tblHeader w:val="0"/>
        </w:trPr>
        <w:tc>
          <w:tcPr>
            <w:tcBorders>
              <w:top w:color="ffffff" w:space="0" w:sz="8"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color w:val="434343"/>
                <w:sz w:val="20"/>
                <w:szCs w:val="20"/>
              </w:rPr>
            </w:pPr>
            <w:r w:rsidDel="00000000" w:rsidR="00000000" w:rsidRPr="00000000">
              <w:rPr>
                <w:rFonts w:ascii="Inter" w:cs="Inter" w:eastAsia="Inter" w:hAnsi="Inter"/>
                <w:color w:val="434343"/>
                <w:sz w:val="20"/>
                <w:szCs w:val="20"/>
                <w:rtl w:val="0"/>
              </w:rPr>
              <w:t xml:space="preserve">Vermögen auf der Plattform</w:t>
            </w:r>
          </w:p>
        </w:tc>
        <w:tc>
          <w:tcPr>
            <w:tcBorders>
              <w:top w:color="ffffff" w:space="0" w:sz="8"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61.6005454545455" w:lineRule="auto"/>
              <w:ind w:right="-20"/>
              <w:rPr>
                <w:rFonts w:ascii="Inter" w:cs="Inter" w:eastAsia="Inter" w:hAnsi="Inter"/>
                <w:color w:val="434343"/>
                <w:sz w:val="20"/>
                <w:szCs w:val="20"/>
              </w:rPr>
            </w:pPr>
            <w:r w:rsidDel="00000000" w:rsidR="00000000" w:rsidRPr="00000000">
              <w:rPr>
                <w:rFonts w:ascii="Inter" w:cs="Inter" w:eastAsia="Inter" w:hAnsi="Inter"/>
                <w:color w:val="434343"/>
                <w:sz w:val="20"/>
                <w:szCs w:val="20"/>
                <w:rtl w:val="0"/>
              </w:rPr>
              <w:t xml:space="preserve">&gt; 20 Milliarden Euro</w:t>
            </w:r>
          </w:p>
        </w:tc>
      </w:tr>
      <w:tr>
        <w:trPr>
          <w:cantSplit w:val="0"/>
          <w:trHeight w:val="935.9765625" w:hRule="atLeast"/>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color w:val="434343"/>
                <w:sz w:val="20"/>
                <w:szCs w:val="20"/>
              </w:rPr>
            </w:pPr>
            <w:r w:rsidDel="00000000" w:rsidR="00000000" w:rsidRPr="00000000">
              <w:rPr>
                <w:rFonts w:ascii="Inter" w:cs="Inter" w:eastAsia="Inter" w:hAnsi="Inter"/>
                <w:color w:val="434343"/>
                <w:sz w:val="20"/>
                <w:szCs w:val="20"/>
                <w:rtl w:val="0"/>
              </w:rPr>
              <w:t xml:space="preserve">Depotführung</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color w:val="434343"/>
                <w:sz w:val="20"/>
                <w:szCs w:val="20"/>
              </w:rPr>
            </w:pPr>
            <w:r w:rsidDel="00000000" w:rsidR="00000000" w:rsidRPr="00000000">
              <w:rPr>
                <w:rFonts w:ascii="Inter" w:cs="Inter" w:eastAsia="Inter" w:hAnsi="Inter"/>
                <w:color w:val="434343"/>
                <w:sz w:val="20"/>
                <w:szCs w:val="20"/>
                <w:rtl w:val="0"/>
              </w:rPr>
              <w:t xml:space="preserve">Scalable Capital GmbH </w:t>
            </w:r>
          </w:p>
        </w:tc>
      </w:tr>
      <w:tr>
        <w:trPr>
          <w:cantSplit w:val="0"/>
          <w:trHeight w:val="935.9765625" w:hRule="atLeast"/>
          <w:tblHeader w:val="0"/>
        </w:trPr>
        <w:tc>
          <w:tcPr>
            <w:tcBorders>
              <w:top w:color="ffffff" w:space="0" w:sz="8" w:val="single"/>
              <w:left w:color="ffffff" w:space="0" w:sz="8" w:val="single"/>
              <w:bottom w:color="ffffff" w:space="0" w:sz="8" w:val="single"/>
              <w:right w:color="efefe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color w:val="434343"/>
                <w:sz w:val="20"/>
                <w:szCs w:val="20"/>
              </w:rPr>
            </w:pPr>
            <w:r w:rsidDel="00000000" w:rsidR="00000000" w:rsidRPr="00000000">
              <w:rPr>
                <w:rFonts w:ascii="Inter" w:cs="Inter" w:eastAsia="Inter" w:hAnsi="Inter"/>
                <w:color w:val="434343"/>
                <w:sz w:val="20"/>
                <w:szCs w:val="20"/>
                <w:rtl w:val="0"/>
              </w:rPr>
              <w:t xml:space="preserve">Social</w:t>
            </w:r>
            <w:r w:rsidDel="00000000" w:rsidR="00000000" w:rsidRPr="00000000">
              <w:rPr>
                <w:rFonts w:ascii="Inter" w:cs="Inter" w:eastAsia="Inter" w:hAnsi="Inter"/>
                <w:color w:val="434343"/>
                <w:sz w:val="20"/>
                <w:szCs w:val="20"/>
                <w:rtl w:val="0"/>
              </w:rPr>
              <w:t xml:space="preserve"> Media</w:t>
            </w:r>
          </w:p>
        </w:tc>
        <w:tc>
          <w:tcPr>
            <w:tcBorders>
              <w:top w:color="ffffff" w:space="0" w:sz="8" w:val="single"/>
              <w:left w:color="efefef" w:space="0" w:sz="8" w:val="single"/>
              <w:bottom w:color="ffffff" w:space="0" w:sz="8" w:val="single"/>
              <w:right w:color="fffff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color w:val="434343"/>
                <w:sz w:val="20"/>
                <w:szCs w:val="20"/>
              </w:rPr>
            </w:pPr>
            <w:r w:rsidDel="00000000" w:rsidR="00000000" w:rsidRPr="00000000">
              <w:rPr>
                <w:rFonts w:ascii="Inter" w:cs="Inter" w:eastAsia="Inter" w:hAnsi="Inter"/>
                <w:color w:val="434343"/>
                <w:sz w:val="20"/>
                <w:szCs w:val="20"/>
                <w:rtl w:val="0"/>
              </w:rPr>
              <w:t xml:space="preserve">  </w:t>
            </w:r>
            <w:hyperlink r:id="rId6">
              <w:r w:rsidDel="00000000" w:rsidR="00000000" w:rsidRPr="00000000">
                <w:rPr>
                  <w:rFonts w:ascii="Inter" w:cs="Inter" w:eastAsia="Inter" w:hAnsi="Inter"/>
                  <w:color w:val="434343"/>
                  <w:sz w:val="20"/>
                  <w:szCs w:val="20"/>
                  <w:u w:val="single"/>
                </w:rPr>
                <w:drawing>
                  <wp:inline distB="114300" distT="114300" distL="114300" distR="114300">
                    <wp:extent cx="329106" cy="329106"/>
                    <wp:effectExtent b="0" l="0" r="0" t="0"/>
                    <wp:docPr id="1" name="image3.png"/>
                    <a:graphic>
                      <a:graphicData uri="http://schemas.openxmlformats.org/drawingml/2006/picture">
                        <pic:pic>
                          <pic:nvPicPr>
                            <pic:cNvPr id="0" name="image3.png"/>
                            <pic:cNvPicPr preferRelativeResize="0"/>
                          </pic:nvPicPr>
                          <pic:blipFill>
                            <a:blip r:embed="rId7"/>
                            <a:srcRect b="0" l="310" r="310" t="0"/>
                            <a:stretch>
                              <a:fillRect/>
                            </a:stretch>
                          </pic:blipFill>
                          <pic:spPr>
                            <a:xfrm>
                              <a:off x="0" y="0"/>
                              <a:ext cx="329106" cy="329106"/>
                            </a:xfrm>
                            <a:prstGeom prst="rect"/>
                            <a:ln/>
                          </pic:spPr>
                        </pic:pic>
                      </a:graphicData>
                    </a:graphic>
                  </wp:inline>
                </w:drawing>
              </w:r>
            </w:hyperlink>
            <w:r w:rsidDel="00000000" w:rsidR="00000000" w:rsidRPr="00000000">
              <w:rPr>
                <w:rFonts w:ascii="Inter" w:cs="Inter" w:eastAsia="Inter" w:hAnsi="Inter"/>
                <w:color w:val="434343"/>
                <w:sz w:val="20"/>
                <w:szCs w:val="20"/>
                <w:rtl w:val="0"/>
              </w:rPr>
              <w:t xml:space="preserve">    </w:t>
            </w:r>
            <w:hyperlink r:id="rId8">
              <w:r w:rsidDel="00000000" w:rsidR="00000000" w:rsidRPr="00000000">
                <w:rPr>
                  <w:rFonts w:ascii="Inter" w:cs="Inter" w:eastAsia="Inter" w:hAnsi="Inter"/>
                  <w:color w:val="434343"/>
                  <w:sz w:val="20"/>
                  <w:szCs w:val="20"/>
                  <w:u w:val="single"/>
                </w:rPr>
                <w:drawing>
                  <wp:inline distB="114300" distT="114300" distL="114300" distR="114300">
                    <wp:extent cx="262244" cy="271956"/>
                    <wp:effectExtent b="0" l="0" r="0" t="0"/>
                    <wp:docPr id="6" name="image4.png"/>
                    <a:graphic>
                      <a:graphicData uri="http://schemas.openxmlformats.org/drawingml/2006/picture">
                        <pic:pic>
                          <pic:nvPicPr>
                            <pic:cNvPr id="0" name="image4.png"/>
                            <pic:cNvPicPr preferRelativeResize="0"/>
                          </pic:nvPicPr>
                          <pic:blipFill>
                            <a:blip r:embed="rId9"/>
                            <a:srcRect b="0" l="2085" r="2085" t="0"/>
                            <a:stretch>
                              <a:fillRect/>
                            </a:stretch>
                          </pic:blipFill>
                          <pic:spPr>
                            <a:xfrm>
                              <a:off x="0" y="0"/>
                              <a:ext cx="262244" cy="271956"/>
                            </a:xfrm>
                            <a:prstGeom prst="rect"/>
                            <a:ln/>
                          </pic:spPr>
                        </pic:pic>
                      </a:graphicData>
                    </a:graphic>
                  </wp:inline>
                </w:drawing>
              </w:r>
            </w:hyperlink>
            <w:r w:rsidDel="00000000" w:rsidR="00000000" w:rsidRPr="00000000">
              <w:rPr>
                <w:rFonts w:ascii="Inter" w:cs="Inter" w:eastAsia="Inter" w:hAnsi="Inter"/>
                <w:color w:val="434343"/>
                <w:sz w:val="20"/>
                <w:szCs w:val="20"/>
                <w:rtl w:val="0"/>
              </w:rPr>
              <w:t xml:space="preserve"> </w:t>
            </w:r>
            <w:r w:rsidDel="00000000" w:rsidR="00000000" w:rsidRPr="00000000">
              <w:rPr>
                <w:rFonts w:ascii="Inter" w:cs="Inter" w:eastAsia="Inter" w:hAnsi="Inter"/>
                <w:color w:val="434343"/>
                <w:sz w:val="20"/>
                <w:szCs w:val="20"/>
                <w:rtl w:val="0"/>
              </w:rPr>
              <w:t xml:space="preserve"> </w:t>
            </w:r>
            <w:r w:rsidDel="00000000" w:rsidR="00000000" w:rsidRPr="00000000">
              <w:rPr>
                <w:rFonts w:ascii="Inter" w:cs="Inter" w:eastAsia="Inter" w:hAnsi="Inter"/>
                <w:color w:val="434343"/>
                <w:sz w:val="20"/>
                <w:szCs w:val="20"/>
                <w:rtl w:val="0"/>
              </w:rPr>
              <w:t xml:space="preserve"> </w:t>
            </w:r>
            <w:hyperlink r:id="rId10">
              <w:r w:rsidDel="00000000" w:rsidR="00000000" w:rsidRPr="00000000">
                <w:rPr>
                  <w:rFonts w:ascii="Inter" w:cs="Inter" w:eastAsia="Inter" w:hAnsi="Inter"/>
                  <w:color w:val="434343"/>
                  <w:sz w:val="20"/>
                  <w:szCs w:val="20"/>
                  <w:u w:val="single"/>
                </w:rPr>
                <w:drawing>
                  <wp:inline distB="114300" distT="114300" distL="114300" distR="114300">
                    <wp:extent cx="280018" cy="293042"/>
                    <wp:effectExtent b="0" l="0" r="0" t="0"/>
                    <wp:docPr id="3" name="image7.png"/>
                    <a:graphic>
                      <a:graphicData uri="http://schemas.openxmlformats.org/drawingml/2006/picture">
                        <pic:pic>
                          <pic:nvPicPr>
                            <pic:cNvPr id="0" name="image7.png"/>
                            <pic:cNvPicPr preferRelativeResize="0"/>
                          </pic:nvPicPr>
                          <pic:blipFill>
                            <a:blip r:embed="rId11"/>
                            <a:srcRect b="0" l="2518" r="2518" t="0"/>
                            <a:stretch>
                              <a:fillRect/>
                            </a:stretch>
                          </pic:blipFill>
                          <pic:spPr>
                            <a:xfrm>
                              <a:off x="0" y="0"/>
                              <a:ext cx="280018" cy="293042"/>
                            </a:xfrm>
                            <a:prstGeom prst="rect"/>
                            <a:ln/>
                          </pic:spPr>
                        </pic:pic>
                      </a:graphicData>
                    </a:graphic>
                  </wp:inline>
                </w:drawing>
              </w:r>
            </w:hyperlink>
            <w:r w:rsidDel="00000000" w:rsidR="00000000" w:rsidRPr="00000000">
              <w:rPr>
                <w:rFonts w:ascii="Inter" w:cs="Inter" w:eastAsia="Inter" w:hAnsi="Inter"/>
                <w:color w:val="434343"/>
                <w:sz w:val="20"/>
                <w:szCs w:val="20"/>
                <w:rtl w:val="0"/>
              </w:rPr>
              <w:t xml:space="preserve">   </w:t>
            </w:r>
            <w:hyperlink r:id="rId12">
              <w:r w:rsidDel="00000000" w:rsidR="00000000" w:rsidRPr="00000000">
                <w:rPr>
                  <w:rFonts w:ascii="Inter" w:cs="Inter" w:eastAsia="Inter" w:hAnsi="Inter"/>
                  <w:color w:val="434343"/>
                  <w:sz w:val="20"/>
                  <w:szCs w:val="20"/>
                  <w:u w:val="single"/>
                </w:rPr>
                <w:drawing>
                  <wp:inline distB="114300" distT="114300" distL="114300" distR="114300">
                    <wp:extent cx="190500" cy="342900"/>
                    <wp:effectExtent b="0" l="0" r="0" t="0"/>
                    <wp:docPr id="8" name="image6.png"/>
                    <a:graphic>
                      <a:graphicData uri="http://schemas.openxmlformats.org/drawingml/2006/picture">
                        <pic:pic>
                          <pic:nvPicPr>
                            <pic:cNvPr id="0" name="image6.png"/>
                            <pic:cNvPicPr preferRelativeResize="0"/>
                          </pic:nvPicPr>
                          <pic:blipFill>
                            <a:blip r:embed="rId13"/>
                            <a:srcRect b="0" l="22394" r="22394" t="0"/>
                            <a:stretch>
                              <a:fillRect/>
                            </a:stretch>
                          </pic:blipFill>
                          <pic:spPr>
                            <a:xfrm>
                              <a:off x="0" y="0"/>
                              <a:ext cx="190500" cy="342900"/>
                            </a:xfrm>
                            <a:prstGeom prst="rect"/>
                            <a:ln/>
                          </pic:spPr>
                        </pic:pic>
                      </a:graphicData>
                    </a:graphic>
                  </wp:inline>
                </w:drawing>
              </w:r>
            </w:hyperlink>
            <w:r w:rsidDel="00000000" w:rsidR="00000000" w:rsidRPr="00000000">
              <w:rPr>
                <w:rFonts w:ascii="Inter" w:cs="Inter" w:eastAsia="Inter" w:hAnsi="Inter"/>
                <w:color w:val="434343"/>
                <w:sz w:val="20"/>
                <w:szCs w:val="20"/>
                <w:rtl w:val="0"/>
              </w:rPr>
              <w:t xml:space="preserve">   </w:t>
            </w:r>
            <w:hyperlink r:id="rId14">
              <w:r w:rsidDel="00000000" w:rsidR="00000000" w:rsidRPr="00000000">
                <w:rPr>
                  <w:rFonts w:ascii="Inter" w:cs="Inter" w:eastAsia="Inter" w:hAnsi="Inter"/>
                  <w:color w:val="434343"/>
                  <w:sz w:val="20"/>
                  <w:szCs w:val="20"/>
                  <w:u w:val="single"/>
                </w:rPr>
                <w:drawing>
                  <wp:inline distB="114300" distT="114300" distL="114300" distR="114300">
                    <wp:extent cx="358992" cy="262677"/>
                    <wp:effectExtent b="0" l="0" r="0" t="0"/>
                    <wp:docPr id="2" name="image1.png"/>
                    <a:graphic>
                      <a:graphicData uri="http://schemas.openxmlformats.org/drawingml/2006/picture">
                        <pic:pic>
                          <pic:nvPicPr>
                            <pic:cNvPr id="0" name="image1.png"/>
                            <pic:cNvPicPr preferRelativeResize="0"/>
                          </pic:nvPicPr>
                          <pic:blipFill>
                            <a:blip r:embed="rId15"/>
                            <a:srcRect b="0" l="2463" r="2463" t="0"/>
                            <a:stretch>
                              <a:fillRect/>
                            </a:stretch>
                          </pic:blipFill>
                          <pic:spPr>
                            <a:xfrm>
                              <a:off x="0" y="0"/>
                              <a:ext cx="358992" cy="262677"/>
                            </a:xfrm>
                            <a:prstGeom prst="rect"/>
                            <a:ln/>
                          </pic:spPr>
                        </pic:pic>
                      </a:graphicData>
                    </a:graphic>
                  </wp:inline>
                </w:drawing>
              </w:r>
            </w:hyperlink>
            <w:r w:rsidDel="00000000" w:rsidR="00000000" w:rsidRPr="00000000">
              <w:rPr>
                <w:rFonts w:ascii="Inter" w:cs="Inter" w:eastAsia="Inter" w:hAnsi="Inter"/>
                <w:color w:val="434343"/>
                <w:sz w:val="20"/>
                <w:szCs w:val="20"/>
                <w:rtl w:val="0"/>
              </w:rPr>
              <w:t xml:space="preserve">  </w:t>
            </w:r>
            <w:hyperlink r:id="rId16">
              <w:r w:rsidDel="00000000" w:rsidR="00000000" w:rsidRPr="00000000">
                <w:rPr>
                  <w:rFonts w:ascii="Inter" w:cs="Inter" w:eastAsia="Inter" w:hAnsi="Inter"/>
                  <w:color w:val="434343"/>
                  <w:sz w:val="20"/>
                  <w:szCs w:val="20"/>
                  <w:u w:val="single"/>
                </w:rPr>
                <w:drawing>
                  <wp:inline distB="114300" distT="114300" distL="114300" distR="114300">
                    <wp:extent cx="279314" cy="316952"/>
                    <wp:effectExtent b="0" l="0" r="0" t="0"/>
                    <wp:docPr id="7"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279314" cy="316952"/>
                            </a:xfrm>
                            <a:prstGeom prst="rect"/>
                            <a:ln/>
                          </pic:spPr>
                        </pic:pic>
                      </a:graphicData>
                    </a:graphic>
                  </wp:inline>
                </w:drawing>
              </w:r>
            </w:hyperlink>
            <w:r w:rsidDel="00000000" w:rsidR="00000000" w:rsidRPr="00000000">
              <w:rPr>
                <w:rFonts w:ascii="Inter" w:cs="Inter" w:eastAsia="Inter" w:hAnsi="Inter"/>
                <w:color w:val="434343"/>
                <w:sz w:val="20"/>
                <w:szCs w:val="20"/>
                <w:rtl w:val="0"/>
              </w:rPr>
              <w:t xml:space="preserve">           </w:t>
            </w:r>
          </w:p>
        </w:tc>
      </w:tr>
    </w:tbl>
    <w:p w:rsidR="00000000" w:rsidDel="00000000" w:rsidP="00000000" w:rsidRDefault="00000000" w:rsidRPr="00000000" w14:paraId="00000022">
      <w:pPr>
        <w:spacing w:line="360" w:lineRule="auto"/>
        <w:ind w:right="-20"/>
        <w:rPr>
          <w:rFonts w:ascii="Inter" w:cs="Inter" w:eastAsia="Inter" w:hAnsi="Inter"/>
          <w:color w:val="434343"/>
          <w:sz w:val="20"/>
          <w:szCs w:val="20"/>
        </w:rPr>
      </w:pPr>
      <w:r w:rsidDel="00000000" w:rsidR="00000000" w:rsidRPr="00000000">
        <w:rPr>
          <w:rFonts w:ascii="Inter" w:cs="Inter" w:eastAsia="Inter" w:hAnsi="Inter"/>
          <w:color w:val="434343"/>
          <w:sz w:val="36"/>
          <w:szCs w:val="36"/>
          <w:rtl w:val="0"/>
        </w:rPr>
        <w:t xml:space="preserve">Der Scalable Broker</w:t>
      </w:r>
      <w:r w:rsidDel="00000000" w:rsidR="00000000" w:rsidRPr="00000000">
        <w:rPr>
          <w:rtl w:val="0"/>
        </w:rPr>
      </w:r>
    </w:p>
    <w:p w:rsidR="00000000" w:rsidDel="00000000" w:rsidP="00000000" w:rsidRDefault="00000000" w:rsidRPr="00000000" w14:paraId="0000002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20" w:before="11" w:line="276" w:lineRule="auto"/>
        <w:ind w:left="720" w:right="204" w:hanging="360"/>
        <w:jc w:val="left"/>
        <w:rPr>
          <w:rFonts w:ascii="Inter" w:cs="Inter" w:eastAsia="Inter" w:hAnsi="Inter"/>
          <w:color w:val="434343"/>
          <w:sz w:val="20"/>
          <w:szCs w:val="20"/>
        </w:rPr>
      </w:pPr>
      <w:r w:rsidDel="00000000" w:rsidR="00000000" w:rsidRPr="00000000">
        <w:rPr>
          <w:rFonts w:ascii="Inter" w:cs="Inter" w:eastAsia="Inter" w:hAnsi="Inter"/>
          <w:color w:val="434343"/>
          <w:sz w:val="20"/>
          <w:szCs w:val="20"/>
          <w:rtl w:val="0"/>
        </w:rPr>
        <w:t xml:space="preserve">Privatanlegende können 8.000 Aktien, 2.200 ETFs, 2.000 Fonds, Anleihen, Derivate und Kryptowährungen eigenständig handeln und so ihr eigenes Portfolio zusammenstellen. </w:t>
      </w:r>
    </w:p>
    <w:p w:rsidR="00000000" w:rsidDel="00000000" w:rsidP="00000000" w:rsidRDefault="00000000" w:rsidRPr="00000000" w14:paraId="00000024">
      <w:pPr>
        <w:widowControl w:val="0"/>
        <w:numPr>
          <w:ilvl w:val="0"/>
          <w:numId w:val="4"/>
        </w:numPr>
        <w:spacing w:after="120" w:before="11" w:lineRule="auto"/>
        <w:ind w:left="720" w:right="204" w:hanging="360"/>
        <w:rPr>
          <w:rFonts w:ascii="Inter" w:cs="Inter" w:eastAsia="Inter" w:hAnsi="Inter"/>
          <w:color w:val="434343"/>
          <w:sz w:val="20"/>
          <w:szCs w:val="20"/>
        </w:rPr>
      </w:pPr>
      <w:r w:rsidDel="00000000" w:rsidR="00000000" w:rsidRPr="00000000">
        <w:rPr>
          <w:rFonts w:ascii="Inter" w:cs="Inter" w:eastAsia="Inter" w:hAnsi="Inter"/>
          <w:color w:val="434343"/>
          <w:sz w:val="20"/>
          <w:szCs w:val="20"/>
          <w:rtl w:val="0"/>
        </w:rPr>
        <w:t xml:space="preserve">Sparpläne in Aktien, ETFs, Fonds und Kryptowährungen können ab 1 Euro angelegt werden.</w:t>
      </w:r>
    </w:p>
    <w:p w:rsidR="00000000" w:rsidDel="00000000" w:rsidP="00000000" w:rsidRDefault="00000000" w:rsidRPr="00000000" w14:paraId="00000025">
      <w:pPr>
        <w:widowControl w:val="0"/>
        <w:numPr>
          <w:ilvl w:val="0"/>
          <w:numId w:val="4"/>
        </w:numPr>
        <w:spacing w:after="120" w:before="11" w:lineRule="auto"/>
        <w:ind w:left="720" w:right="204" w:hanging="360"/>
        <w:rPr>
          <w:rFonts w:ascii="Inter" w:cs="Inter" w:eastAsia="Inter" w:hAnsi="Inter"/>
          <w:color w:val="434343"/>
          <w:sz w:val="20"/>
          <w:szCs w:val="20"/>
        </w:rPr>
      </w:pPr>
      <w:r w:rsidDel="00000000" w:rsidR="00000000" w:rsidRPr="00000000">
        <w:rPr>
          <w:rFonts w:ascii="Inter" w:cs="Inter" w:eastAsia="Inter" w:hAnsi="Inter"/>
          <w:color w:val="434343"/>
          <w:sz w:val="20"/>
          <w:szCs w:val="20"/>
          <w:rtl w:val="0"/>
        </w:rPr>
        <w:t xml:space="preserve">Handel an drei Handelsplätzen: der European Investor Exchange (EIX, Börse Hannover), gettex (Börse München) und XETRA (Deutsche Börse). </w:t>
      </w:r>
    </w:p>
    <w:p w:rsidR="00000000" w:rsidDel="00000000" w:rsidP="00000000" w:rsidRDefault="00000000" w:rsidRPr="00000000" w14:paraId="00000026">
      <w:pPr>
        <w:widowControl w:val="0"/>
        <w:numPr>
          <w:ilvl w:val="0"/>
          <w:numId w:val="4"/>
        </w:numPr>
        <w:spacing w:after="120" w:before="11" w:lineRule="auto"/>
        <w:ind w:left="720" w:right="204" w:hanging="360"/>
        <w:rPr>
          <w:rFonts w:ascii="Inter" w:cs="Inter" w:eastAsia="Inter" w:hAnsi="Inter"/>
          <w:color w:val="434343"/>
          <w:sz w:val="20"/>
          <w:szCs w:val="20"/>
        </w:rPr>
      </w:pPr>
      <w:r w:rsidDel="00000000" w:rsidR="00000000" w:rsidRPr="00000000">
        <w:rPr>
          <w:rFonts w:ascii="Inter" w:cs="Inter" w:eastAsia="Inter" w:hAnsi="Inter"/>
          <w:color w:val="434343"/>
          <w:sz w:val="20"/>
          <w:szCs w:val="20"/>
          <w:rtl w:val="0"/>
        </w:rPr>
        <w:t xml:space="preserve">Die Guthaben werden bei Partnerbanken und bei Geldmarktfonds verwahrt. Anfänglich sind Deutsche Bank, J.P. Morgan Asset Management, DWS und BlackRock dabei. Auf Broker-Guthaben werden 3,25 Prozent p.a. Zinsen (variabel) bis 500.000 Euro im PRIME+ Broker und bis 50.000 Euro im FREE Broker weitergegeben. </w:t>
      </w:r>
    </w:p>
    <w:p w:rsidR="00000000" w:rsidDel="00000000" w:rsidP="00000000" w:rsidRDefault="00000000" w:rsidRPr="00000000" w14:paraId="00000027">
      <w:pPr>
        <w:widowControl w:val="0"/>
        <w:numPr>
          <w:ilvl w:val="0"/>
          <w:numId w:val="4"/>
        </w:numPr>
        <w:spacing w:after="120" w:before="11" w:lineRule="auto"/>
        <w:ind w:left="720" w:right="204" w:hanging="360"/>
        <w:rPr>
          <w:rFonts w:ascii="Inter" w:cs="Inter" w:eastAsia="Inter" w:hAnsi="Inter"/>
          <w:color w:val="434343"/>
          <w:sz w:val="20"/>
          <w:szCs w:val="20"/>
        </w:rPr>
      </w:pPr>
      <w:r w:rsidDel="00000000" w:rsidR="00000000" w:rsidRPr="00000000">
        <w:rPr>
          <w:rFonts w:ascii="Inter" w:cs="Inter" w:eastAsia="Inter" w:hAnsi="Inter"/>
          <w:color w:val="434343"/>
          <w:sz w:val="20"/>
          <w:szCs w:val="20"/>
          <w:rtl w:val="0"/>
        </w:rPr>
        <w:t xml:space="preserve">Für das Trading und die Verwaltung des Portfolios stehen sowohl mobile Apps für Apple iOS und Android als auch eine benutzerfreundliche Webanwendung zur Verfügung.</w:t>
      </w:r>
    </w:p>
    <w:p w:rsidR="00000000" w:rsidDel="00000000" w:rsidP="00000000" w:rsidRDefault="00000000" w:rsidRPr="00000000" w14:paraId="0000002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20" w:before="11" w:line="276" w:lineRule="auto"/>
        <w:ind w:left="720" w:right="204" w:hanging="360"/>
        <w:jc w:val="left"/>
        <w:rPr>
          <w:rFonts w:ascii="Inter" w:cs="Inter" w:eastAsia="Inter" w:hAnsi="Inter"/>
          <w:color w:val="434343"/>
          <w:sz w:val="20"/>
          <w:szCs w:val="20"/>
        </w:rPr>
      </w:pPr>
      <w:r w:rsidDel="00000000" w:rsidR="00000000" w:rsidRPr="00000000">
        <w:rPr>
          <w:rFonts w:ascii="Inter" w:cs="Inter" w:eastAsia="Inter" w:hAnsi="Inter"/>
          <w:color w:val="434343"/>
          <w:sz w:val="20"/>
          <w:szCs w:val="20"/>
          <w:rtl w:val="0"/>
        </w:rPr>
        <w:t xml:space="preserve">Das Anmeldeverfahren erfolgt online und komplett papierlos. Die Identifizierung ist bequem per POSTIDENT Video möglich.</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1" w:line="276" w:lineRule="auto"/>
        <w:ind w:left="720" w:right="204" w:firstLine="0"/>
        <w:jc w:val="left"/>
        <w:rPr>
          <w:rFonts w:ascii="Inter" w:cs="Inter" w:eastAsia="Inter" w:hAnsi="Inter"/>
          <w:color w:val="434343"/>
          <w:sz w:val="20"/>
          <w:szCs w:val="20"/>
        </w:rPr>
        <w:sectPr>
          <w:headerReference r:id="rId18" w:type="default"/>
          <w:headerReference r:id="rId19" w:type="first"/>
          <w:footerReference r:id="rId20" w:type="default"/>
          <w:footerReference r:id="rId21" w:type="first"/>
          <w:pgSz w:h="16834" w:w="11909" w:orient="portrait"/>
          <w:pgMar w:bottom="566.9291338582677" w:top="850.3937007874016" w:left="1247.2440944881891" w:right="1247.2440944881891" w:header="56.69291338582678" w:footer="566.9291338582677"/>
          <w:pgNumType w:start="1"/>
          <w:titlePg w:val="1"/>
        </w:sectPr>
      </w:pPr>
      <w:r w:rsidDel="00000000" w:rsidR="00000000" w:rsidRPr="00000000">
        <w:rPr>
          <w:rtl w:val="0"/>
        </w:rPr>
      </w:r>
    </w:p>
    <w:p w:rsidR="00000000" w:rsidDel="00000000" w:rsidP="00000000" w:rsidRDefault="00000000" w:rsidRPr="00000000" w14:paraId="0000002A">
      <w:pPr>
        <w:spacing w:after="120" w:before="20" w:line="240" w:lineRule="auto"/>
        <w:ind w:right="200"/>
        <w:rPr>
          <w:rFonts w:ascii="Inter" w:cs="Inter" w:eastAsia="Inter" w:hAnsi="Inter"/>
          <w:color w:val="434343"/>
          <w:sz w:val="24"/>
          <w:szCs w:val="24"/>
        </w:rPr>
      </w:pPr>
      <w:r w:rsidDel="00000000" w:rsidR="00000000" w:rsidRPr="00000000">
        <w:rPr>
          <w:rFonts w:ascii="Inter" w:cs="Inter" w:eastAsia="Inter" w:hAnsi="Inter"/>
          <w:color w:val="434343"/>
          <w:sz w:val="24"/>
          <w:szCs w:val="24"/>
          <w:rtl w:val="0"/>
        </w:rPr>
        <w:t xml:space="preserve">Die Preismodelle</w:t>
      </w:r>
    </w:p>
    <w:p w:rsidR="00000000" w:rsidDel="00000000" w:rsidP="00000000" w:rsidRDefault="00000000" w:rsidRPr="00000000" w14:paraId="0000002B">
      <w:pPr>
        <w:ind w:right="-20"/>
        <w:jc w:val="both"/>
        <w:rPr>
          <w:rFonts w:ascii="Inter" w:cs="Inter" w:eastAsia="Inter" w:hAnsi="Inter"/>
          <w:color w:val="434343"/>
          <w:sz w:val="20"/>
          <w:szCs w:val="20"/>
        </w:rPr>
      </w:pPr>
      <w:r w:rsidDel="00000000" w:rsidR="00000000" w:rsidRPr="00000000">
        <w:rPr>
          <w:rFonts w:ascii="Inter" w:cs="Inter" w:eastAsia="Inter" w:hAnsi="Inter"/>
          <w:color w:val="434343"/>
          <w:sz w:val="20"/>
          <w:szCs w:val="20"/>
          <w:rtl w:val="0"/>
        </w:rPr>
        <w:t xml:space="preserve">Mit dem</w:t>
      </w:r>
      <w:r w:rsidDel="00000000" w:rsidR="00000000" w:rsidRPr="00000000">
        <w:rPr>
          <w:rFonts w:ascii="Inter" w:cs="Inter" w:eastAsia="Inter" w:hAnsi="Inter"/>
          <w:b w:val="1"/>
          <w:color w:val="434343"/>
          <w:sz w:val="20"/>
          <w:szCs w:val="20"/>
          <w:rtl w:val="0"/>
        </w:rPr>
        <w:t xml:space="preserve"> PRIME+ Broker</w:t>
      </w:r>
      <w:r w:rsidDel="00000000" w:rsidR="00000000" w:rsidRPr="00000000">
        <w:rPr>
          <w:rFonts w:ascii="Inter" w:cs="Inter" w:eastAsia="Inter" w:hAnsi="Inter"/>
          <w:color w:val="434343"/>
          <w:sz w:val="20"/>
          <w:szCs w:val="20"/>
          <w:rtl w:val="0"/>
        </w:rPr>
        <w:t xml:space="preserve"> für 4,99 Euro im Monat können Kundinnen und Kunden ab einem Volumen von 250 Euro pro Order unlimitiert handeln, darunter kostet ein Trade 0,99 Euro. Das Broker-Modell ist jederzeit kündbar. </w:t>
      </w:r>
    </w:p>
    <w:p w:rsidR="00000000" w:rsidDel="00000000" w:rsidP="00000000" w:rsidRDefault="00000000" w:rsidRPr="00000000" w14:paraId="0000002C">
      <w:pPr>
        <w:ind w:right="-20"/>
        <w:jc w:val="both"/>
        <w:rPr>
          <w:rFonts w:ascii="Inter" w:cs="Inter" w:eastAsia="Inter" w:hAnsi="Inter"/>
          <w:color w:val="434343"/>
          <w:sz w:val="20"/>
          <w:szCs w:val="20"/>
        </w:rPr>
      </w:pPr>
      <w:r w:rsidDel="00000000" w:rsidR="00000000" w:rsidRPr="00000000">
        <w:rPr>
          <w:rtl w:val="0"/>
        </w:rPr>
      </w:r>
    </w:p>
    <w:p w:rsidR="00000000" w:rsidDel="00000000" w:rsidP="00000000" w:rsidRDefault="00000000" w:rsidRPr="00000000" w14:paraId="0000002D">
      <w:pPr>
        <w:ind w:right="-20"/>
        <w:jc w:val="both"/>
        <w:rPr>
          <w:rFonts w:ascii="Inter" w:cs="Inter" w:eastAsia="Inter" w:hAnsi="Inter"/>
          <w:color w:val="434343"/>
          <w:sz w:val="20"/>
          <w:szCs w:val="20"/>
        </w:rPr>
      </w:pPr>
      <w:r w:rsidDel="00000000" w:rsidR="00000000" w:rsidRPr="00000000">
        <w:rPr>
          <w:rFonts w:ascii="Inter" w:cs="Inter" w:eastAsia="Inter" w:hAnsi="Inter"/>
          <w:color w:val="434343"/>
          <w:sz w:val="20"/>
          <w:szCs w:val="20"/>
          <w:rtl w:val="0"/>
        </w:rPr>
        <w:t xml:space="preserve">Im </w:t>
      </w:r>
      <w:r w:rsidDel="00000000" w:rsidR="00000000" w:rsidRPr="00000000">
        <w:rPr>
          <w:rFonts w:ascii="Inter" w:cs="Inter" w:eastAsia="Inter" w:hAnsi="Inter"/>
          <w:b w:val="1"/>
          <w:color w:val="434343"/>
          <w:sz w:val="20"/>
          <w:szCs w:val="20"/>
          <w:rtl w:val="0"/>
        </w:rPr>
        <w:t xml:space="preserve">FREE Broker</w:t>
      </w:r>
      <w:r w:rsidDel="00000000" w:rsidR="00000000" w:rsidRPr="00000000">
        <w:rPr>
          <w:rFonts w:ascii="Inter" w:cs="Inter" w:eastAsia="Inter" w:hAnsi="Inter"/>
          <w:color w:val="434343"/>
          <w:sz w:val="20"/>
          <w:szCs w:val="20"/>
          <w:rtl w:val="0"/>
        </w:rPr>
        <w:t xml:space="preserve"> werden unabhängig vom Handelsvolumen 0,99 Euro pro Trade berechnet. Alle ETFs der PRIME Partner Amundi, BlackRock und DWS können ab einem Ordervolumen von 250 Euro ohne Ordergebühr gekauft werden - der Verkauf kostet 0,99 Euro Ordergebühr. </w:t>
      </w:r>
    </w:p>
    <w:p w:rsidR="00000000" w:rsidDel="00000000" w:rsidP="00000000" w:rsidRDefault="00000000" w:rsidRPr="00000000" w14:paraId="0000002E">
      <w:pPr>
        <w:ind w:right="-20"/>
        <w:rPr>
          <w:rFonts w:ascii="Inter" w:cs="Inter" w:eastAsia="Inter" w:hAnsi="Inter"/>
          <w:color w:val="434343"/>
          <w:sz w:val="20"/>
          <w:szCs w:val="20"/>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20" w:firstLine="0"/>
        <w:jc w:val="both"/>
        <w:rPr>
          <w:rFonts w:ascii="Inter" w:cs="Inter" w:eastAsia="Inter" w:hAnsi="Inter"/>
          <w:color w:val="434343"/>
          <w:sz w:val="20"/>
          <w:szCs w:val="20"/>
        </w:rPr>
      </w:pPr>
      <w:r w:rsidDel="00000000" w:rsidR="00000000" w:rsidRPr="00000000">
        <w:rPr>
          <w:rFonts w:ascii="Inter" w:cs="Inter" w:eastAsia="Inter" w:hAnsi="Inter"/>
          <w:color w:val="434343"/>
          <w:sz w:val="20"/>
          <w:szCs w:val="20"/>
          <w:rtl w:val="0"/>
        </w:rPr>
        <w:t xml:space="preserve">In beiden Broker-Modellen können beliebig viele Sparpläne ohne Ordergebühren angelegt werden. Gegebenenfalls fallen jeweils Produktkosten, Spreads, Zuwendungen und Crypto-Gebühren an (alle Details </w:t>
      </w:r>
      <w:hyperlink r:id="rId22">
        <w:r w:rsidDel="00000000" w:rsidR="00000000" w:rsidRPr="00000000">
          <w:rPr>
            <w:rFonts w:ascii="Inter" w:cs="Inter" w:eastAsia="Inter" w:hAnsi="Inter"/>
            <w:color w:val="434343"/>
            <w:sz w:val="20"/>
            <w:szCs w:val="20"/>
            <w:u w:val="single"/>
            <w:rtl w:val="0"/>
          </w:rPr>
          <w:t xml:space="preserve">hier</w:t>
        </w:r>
      </w:hyperlink>
      <w:r w:rsidDel="00000000" w:rsidR="00000000" w:rsidRPr="00000000">
        <w:rPr>
          <w:rFonts w:ascii="Inter" w:cs="Inter" w:eastAsia="Inter" w:hAnsi="Inter"/>
          <w:color w:val="434343"/>
          <w:sz w:val="20"/>
          <w:szCs w:val="20"/>
          <w:rtl w:val="0"/>
        </w:rPr>
        <w:t xml:space="preserve">). </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20" w:firstLine="0"/>
        <w:jc w:val="both"/>
        <w:rPr>
          <w:rFonts w:ascii="Inter" w:cs="Inter" w:eastAsia="Inter" w:hAnsi="Inter"/>
          <w:color w:val="434343"/>
          <w:sz w:val="20"/>
          <w:szCs w:val="20"/>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20" w:firstLine="0"/>
        <w:jc w:val="both"/>
        <w:rPr>
          <w:rFonts w:ascii="Inter" w:cs="Inter" w:eastAsia="Inter" w:hAnsi="Inter"/>
          <w:color w:val="434343"/>
          <w:sz w:val="20"/>
          <w:szCs w:val="20"/>
        </w:rPr>
      </w:pPr>
      <w:r w:rsidDel="00000000" w:rsidR="00000000" w:rsidRPr="00000000">
        <w:rPr>
          <w:rFonts w:ascii="Inter" w:cs="Inter" w:eastAsia="Inter" w:hAnsi="Inter"/>
          <w:color w:val="434343"/>
          <w:sz w:val="20"/>
          <w:szCs w:val="20"/>
          <w:rtl w:val="0"/>
        </w:rPr>
        <w:t xml:space="preserve">Diese Preise beziehen sich auf die elektronische Handelsplattform EIX (Börse Hannover) und gettex (Börse München). Der Handel auf XETRA kostet 3,99 Euro pro Order zzgl. einer Handelsplatzgebühr von 0,01 Prozent des ausgeführten Volumens, mindestens 1,50 Euro.</w:t>
      </w:r>
    </w:p>
    <w:p w:rsidR="00000000" w:rsidDel="00000000" w:rsidP="00000000" w:rsidRDefault="00000000" w:rsidRPr="00000000" w14:paraId="00000032">
      <w:pPr>
        <w:spacing w:line="276" w:lineRule="auto"/>
        <w:ind w:right="-20"/>
        <w:rPr>
          <w:rFonts w:ascii="Inter" w:cs="Inter" w:eastAsia="Inter" w:hAnsi="Inter"/>
          <w:color w:val="434343"/>
          <w:sz w:val="20"/>
          <w:szCs w:val="20"/>
        </w:rPr>
      </w:pPr>
      <w:r w:rsidDel="00000000" w:rsidR="00000000" w:rsidRPr="00000000">
        <w:rPr>
          <w:rtl w:val="0"/>
        </w:rPr>
      </w:r>
    </w:p>
    <w:p w:rsidR="00000000" w:rsidDel="00000000" w:rsidP="00000000" w:rsidRDefault="00000000" w:rsidRPr="00000000" w14:paraId="00000033">
      <w:pPr>
        <w:spacing w:line="276" w:lineRule="auto"/>
        <w:ind w:right="-20"/>
        <w:rPr>
          <w:rFonts w:ascii="Inter" w:cs="Inter" w:eastAsia="Inter" w:hAnsi="Inter"/>
          <w:color w:val="434343"/>
          <w:sz w:val="20"/>
          <w:szCs w:val="20"/>
        </w:rPr>
      </w:pPr>
      <w:r w:rsidDel="00000000" w:rsidR="00000000" w:rsidRPr="00000000">
        <w:rPr>
          <w:rtl w:val="0"/>
        </w:rPr>
      </w:r>
    </w:p>
    <w:p w:rsidR="00000000" w:rsidDel="00000000" w:rsidP="00000000" w:rsidRDefault="00000000" w:rsidRPr="00000000" w14:paraId="00000034">
      <w:pPr>
        <w:spacing w:line="276" w:lineRule="auto"/>
        <w:ind w:right="-20"/>
        <w:rPr>
          <w:rFonts w:ascii="Inter" w:cs="Inter" w:eastAsia="Inter" w:hAnsi="Inter"/>
          <w:color w:val="434343"/>
          <w:sz w:val="20"/>
          <w:szCs w:val="20"/>
        </w:rPr>
      </w:pPr>
      <w:r w:rsidDel="00000000" w:rsidR="00000000" w:rsidRPr="00000000">
        <w:rPr>
          <w:rtl w:val="0"/>
        </w:rPr>
      </w:r>
    </w:p>
    <w:p w:rsidR="00000000" w:rsidDel="00000000" w:rsidP="00000000" w:rsidRDefault="00000000" w:rsidRPr="00000000" w14:paraId="00000035">
      <w:pPr>
        <w:ind w:right="200"/>
        <w:rPr>
          <w:rFonts w:ascii="Inter" w:cs="Inter" w:eastAsia="Inter" w:hAnsi="Inter"/>
          <w:color w:val="434343"/>
          <w:sz w:val="24"/>
          <w:szCs w:val="24"/>
        </w:rPr>
      </w:pPr>
      <w:r w:rsidDel="00000000" w:rsidR="00000000" w:rsidRPr="00000000">
        <w:rPr>
          <w:rtl w:val="0"/>
        </w:rPr>
      </w:r>
    </w:p>
    <w:p w:rsidR="00000000" w:rsidDel="00000000" w:rsidP="00000000" w:rsidRDefault="00000000" w:rsidRPr="00000000" w14:paraId="00000036">
      <w:pPr>
        <w:ind w:right="200"/>
        <w:rPr>
          <w:rFonts w:ascii="Inter" w:cs="Inter" w:eastAsia="Inter" w:hAnsi="Inter"/>
          <w:color w:val="434343"/>
          <w:sz w:val="24"/>
          <w:szCs w:val="24"/>
        </w:rPr>
      </w:pPr>
      <w:r w:rsidDel="00000000" w:rsidR="00000000" w:rsidRPr="00000000">
        <w:rPr>
          <w:rFonts w:ascii="Inter" w:cs="Inter" w:eastAsia="Inter" w:hAnsi="Inter"/>
          <w:color w:val="434343"/>
          <w:sz w:val="24"/>
          <w:szCs w:val="24"/>
          <w:rtl w:val="0"/>
        </w:rPr>
        <w:t xml:space="preserve">Mehrwert für Anlegende</w:t>
      </w:r>
    </w:p>
    <w:p w:rsidR="00000000" w:rsidDel="00000000" w:rsidP="00000000" w:rsidRDefault="00000000" w:rsidRPr="00000000" w14:paraId="00000037">
      <w:pPr>
        <w:widowControl w:val="0"/>
        <w:numPr>
          <w:ilvl w:val="0"/>
          <w:numId w:val="5"/>
        </w:numPr>
        <w:spacing w:after="120" w:before="100" w:line="276" w:lineRule="auto"/>
        <w:ind w:left="720" w:right="470" w:hanging="360"/>
        <w:rPr>
          <w:rFonts w:ascii="Inter" w:cs="Inter" w:eastAsia="Inter" w:hAnsi="Inter"/>
          <w:color w:val="434343"/>
          <w:sz w:val="20"/>
          <w:szCs w:val="20"/>
        </w:rPr>
      </w:pPr>
      <w:r w:rsidDel="00000000" w:rsidR="00000000" w:rsidRPr="00000000">
        <w:rPr>
          <w:rFonts w:ascii="Inter" w:cs="Inter" w:eastAsia="Inter" w:hAnsi="Inter"/>
          <w:color w:val="434343"/>
          <w:sz w:val="20"/>
          <w:szCs w:val="20"/>
          <w:rtl w:val="0"/>
        </w:rPr>
        <w:t xml:space="preserve">In Österreich einzigartige Trading-Flatrate für 4,99 Euro monatlich in  PRIME+ </w:t>
      </w:r>
    </w:p>
    <w:p w:rsidR="00000000" w:rsidDel="00000000" w:rsidP="00000000" w:rsidRDefault="00000000" w:rsidRPr="00000000" w14:paraId="00000038">
      <w:pPr>
        <w:numPr>
          <w:ilvl w:val="0"/>
          <w:numId w:val="5"/>
        </w:numPr>
        <w:spacing w:after="120" w:before="100" w:lineRule="auto"/>
        <w:ind w:left="720" w:right="470" w:hanging="360"/>
        <w:rPr>
          <w:rFonts w:ascii="Inter" w:cs="Inter" w:eastAsia="Inter" w:hAnsi="Inter"/>
          <w:color w:val="434343"/>
          <w:sz w:val="20"/>
          <w:szCs w:val="20"/>
        </w:rPr>
      </w:pPr>
      <w:r w:rsidDel="00000000" w:rsidR="00000000" w:rsidRPr="00000000">
        <w:rPr>
          <w:rFonts w:ascii="Inter" w:cs="Inter" w:eastAsia="Inter" w:hAnsi="Inter"/>
          <w:color w:val="434343"/>
          <w:sz w:val="20"/>
          <w:szCs w:val="20"/>
          <w:rtl w:val="0"/>
        </w:rPr>
        <w:t xml:space="preserve">Sparpläne in Aktien, ETFs, Fonds, Crypto ETPs ab 1 Euro</w:t>
      </w:r>
    </w:p>
    <w:p w:rsidR="00000000" w:rsidDel="00000000" w:rsidP="00000000" w:rsidRDefault="00000000" w:rsidRPr="00000000" w14:paraId="00000039">
      <w:pPr>
        <w:numPr>
          <w:ilvl w:val="0"/>
          <w:numId w:val="5"/>
        </w:numPr>
        <w:spacing w:after="120" w:before="100" w:lineRule="auto"/>
        <w:ind w:left="720" w:right="470" w:hanging="360"/>
        <w:rPr>
          <w:rFonts w:ascii="Inter" w:cs="Inter" w:eastAsia="Inter" w:hAnsi="Inter"/>
          <w:color w:val="434343"/>
          <w:sz w:val="20"/>
          <w:szCs w:val="20"/>
        </w:rPr>
      </w:pPr>
      <w:r w:rsidDel="00000000" w:rsidR="00000000" w:rsidRPr="00000000">
        <w:rPr>
          <w:rFonts w:ascii="Inter" w:cs="Inter" w:eastAsia="Inter" w:hAnsi="Inter"/>
          <w:color w:val="434343"/>
          <w:sz w:val="20"/>
          <w:szCs w:val="20"/>
          <w:rtl w:val="0"/>
        </w:rPr>
        <w:t xml:space="preserve">Wahl zwischen drei Handelsplätzen</w:t>
      </w:r>
    </w:p>
    <w:p w:rsidR="00000000" w:rsidDel="00000000" w:rsidP="00000000" w:rsidRDefault="00000000" w:rsidRPr="00000000" w14:paraId="0000003A">
      <w:pPr>
        <w:widowControl w:val="0"/>
        <w:numPr>
          <w:ilvl w:val="0"/>
          <w:numId w:val="5"/>
        </w:numPr>
        <w:spacing w:after="120" w:before="100" w:lineRule="auto"/>
        <w:ind w:left="720" w:right="470" w:hanging="360"/>
        <w:rPr>
          <w:rFonts w:ascii="Inter" w:cs="Inter" w:eastAsia="Inter" w:hAnsi="Inter"/>
          <w:color w:val="434343"/>
          <w:sz w:val="20"/>
          <w:szCs w:val="20"/>
        </w:rPr>
      </w:pPr>
      <w:r w:rsidDel="00000000" w:rsidR="00000000" w:rsidRPr="00000000">
        <w:rPr>
          <w:rFonts w:ascii="Inter" w:cs="Inter" w:eastAsia="Inter" w:hAnsi="Inter"/>
          <w:color w:val="434343"/>
          <w:sz w:val="20"/>
          <w:szCs w:val="20"/>
          <w:rtl w:val="0"/>
        </w:rPr>
        <w:t xml:space="preserve">Wertpapierkredite zu attraktiven Konditionen</w:t>
      </w:r>
    </w:p>
    <w:p w:rsidR="00000000" w:rsidDel="00000000" w:rsidP="00000000" w:rsidRDefault="00000000" w:rsidRPr="00000000" w14:paraId="0000003B">
      <w:pPr>
        <w:numPr>
          <w:ilvl w:val="0"/>
          <w:numId w:val="5"/>
        </w:numPr>
        <w:spacing w:after="120" w:before="100" w:lineRule="auto"/>
        <w:ind w:left="720" w:right="470" w:hanging="360"/>
        <w:rPr>
          <w:rFonts w:ascii="Inter" w:cs="Inter" w:eastAsia="Inter" w:hAnsi="Inter"/>
          <w:color w:val="434343"/>
          <w:sz w:val="20"/>
          <w:szCs w:val="20"/>
        </w:rPr>
      </w:pPr>
      <w:r w:rsidDel="00000000" w:rsidR="00000000" w:rsidRPr="00000000">
        <w:rPr>
          <w:rFonts w:ascii="Inter" w:cs="Inter" w:eastAsia="Inter" w:hAnsi="Inter"/>
          <w:color w:val="434343"/>
          <w:sz w:val="20"/>
          <w:szCs w:val="20"/>
          <w:rtl w:val="0"/>
        </w:rPr>
        <w:t xml:space="preserve">Einfache Bedienung in der App oder im Web </w:t>
      </w:r>
    </w:p>
    <w:p w:rsidR="00000000" w:rsidDel="00000000" w:rsidP="00000000" w:rsidRDefault="00000000" w:rsidRPr="00000000" w14:paraId="0000003C">
      <w:pPr>
        <w:widowControl w:val="0"/>
        <w:spacing w:after="120" w:before="100" w:line="276" w:lineRule="auto"/>
        <w:ind w:right="470"/>
        <w:rPr>
          <w:rFonts w:ascii="Inter" w:cs="Inter" w:eastAsia="Inter" w:hAnsi="Inter"/>
          <w:color w:val="434343"/>
          <w:sz w:val="20"/>
          <w:szCs w:val="20"/>
        </w:rPr>
      </w:pPr>
      <w:r w:rsidDel="00000000" w:rsidR="00000000" w:rsidRPr="00000000">
        <w:rPr>
          <w:rtl w:val="0"/>
        </w:rPr>
      </w:r>
    </w:p>
    <w:p w:rsidR="00000000" w:rsidDel="00000000" w:rsidP="00000000" w:rsidRDefault="00000000" w:rsidRPr="00000000" w14:paraId="0000003D">
      <w:pPr>
        <w:widowControl w:val="0"/>
        <w:spacing w:after="120" w:before="100" w:line="276" w:lineRule="auto"/>
        <w:ind w:right="470"/>
        <w:rPr>
          <w:rFonts w:ascii="Inter" w:cs="Inter" w:eastAsia="Inter" w:hAnsi="Inter"/>
          <w:color w:val="434343"/>
          <w:sz w:val="20"/>
          <w:szCs w:val="20"/>
        </w:rPr>
      </w:pPr>
      <w:r w:rsidDel="00000000" w:rsidR="00000000" w:rsidRPr="00000000">
        <w:rPr>
          <w:rtl w:val="0"/>
        </w:rPr>
      </w:r>
    </w:p>
    <w:p w:rsidR="00000000" w:rsidDel="00000000" w:rsidP="00000000" w:rsidRDefault="00000000" w:rsidRPr="00000000" w14:paraId="0000003E">
      <w:pPr>
        <w:spacing w:after="120" w:line="276.0005454545455" w:lineRule="auto"/>
        <w:ind w:right="260"/>
        <w:rPr>
          <w:rFonts w:ascii="Inter" w:cs="Inter" w:eastAsia="Inter" w:hAnsi="Inter"/>
          <w:color w:val="434343"/>
          <w:sz w:val="24"/>
          <w:szCs w:val="24"/>
        </w:rPr>
      </w:pPr>
      <w:r w:rsidDel="00000000" w:rsidR="00000000" w:rsidRPr="00000000">
        <w:rPr>
          <w:rFonts w:ascii="Inter" w:cs="Inter" w:eastAsia="Inter" w:hAnsi="Inter"/>
          <w:color w:val="434343"/>
          <w:sz w:val="20"/>
          <w:szCs w:val="20"/>
          <w:rtl w:val="0"/>
        </w:rPr>
        <w:br w:type="textWrapping"/>
      </w:r>
      <w:r w:rsidDel="00000000" w:rsidR="00000000" w:rsidRPr="00000000">
        <w:rPr>
          <w:rFonts w:ascii="Inter" w:cs="Inter" w:eastAsia="Inter" w:hAnsi="Inter"/>
          <w:color w:val="434343"/>
          <w:sz w:val="24"/>
          <w:szCs w:val="24"/>
          <w:rtl w:val="0"/>
        </w:rPr>
        <w:t xml:space="preserve">Kund:innenprofil</w:t>
      </w:r>
    </w:p>
    <w:p w:rsidR="00000000" w:rsidDel="00000000" w:rsidP="00000000" w:rsidRDefault="00000000" w:rsidRPr="00000000" w14:paraId="0000003F">
      <w:pPr>
        <w:widowControl w:val="0"/>
        <w:spacing w:after="120" w:line="276" w:lineRule="auto"/>
        <w:ind w:right="258"/>
        <w:rPr>
          <w:rFonts w:ascii="Inter" w:cs="Inter" w:eastAsia="Inter" w:hAnsi="Inter"/>
          <w:color w:val="434343"/>
          <w:sz w:val="20"/>
          <w:szCs w:val="20"/>
        </w:rPr>
      </w:pPr>
      <w:r w:rsidDel="00000000" w:rsidR="00000000" w:rsidRPr="00000000">
        <w:rPr>
          <w:rFonts w:ascii="Inter" w:cs="Inter" w:eastAsia="Inter" w:hAnsi="Inter"/>
          <w:color w:val="434343"/>
          <w:sz w:val="20"/>
          <w:szCs w:val="20"/>
          <w:rtl w:val="0"/>
        </w:rPr>
        <w:t xml:space="preserve">Der Großteil der Kundinnen und Kunden des Scalable Brokers sind zwischen 27 und 34 Jahre. Zwei Drittel der Kundengelder sind in ETFs angelegt. Jede zweite Person bespart mindestens einen ETF.</w:t>
      </w:r>
    </w:p>
    <w:p w:rsidR="00000000" w:rsidDel="00000000" w:rsidP="00000000" w:rsidRDefault="00000000" w:rsidRPr="00000000" w14:paraId="00000040">
      <w:pPr>
        <w:spacing w:after="0" w:before="0" w:line="276" w:lineRule="auto"/>
        <w:ind w:right="200"/>
        <w:rPr>
          <w:rFonts w:ascii="Inter" w:cs="Inter" w:eastAsia="Inter" w:hAnsi="Inter"/>
          <w:color w:val="434343"/>
          <w:sz w:val="24"/>
          <w:szCs w:val="24"/>
        </w:rPr>
      </w:pPr>
      <w:r w:rsidDel="00000000" w:rsidR="00000000" w:rsidRPr="00000000">
        <w:rPr>
          <w:rtl w:val="0"/>
        </w:rPr>
      </w:r>
    </w:p>
    <w:p w:rsidR="00000000" w:rsidDel="00000000" w:rsidP="00000000" w:rsidRDefault="00000000" w:rsidRPr="00000000" w14:paraId="00000041">
      <w:pPr>
        <w:widowControl w:val="0"/>
        <w:spacing w:after="120" w:before="100" w:line="276" w:lineRule="auto"/>
        <w:ind w:left="0" w:right="470" w:firstLine="0"/>
        <w:rPr>
          <w:rFonts w:ascii="Inter" w:cs="Inter" w:eastAsia="Inter" w:hAnsi="Inter"/>
          <w:color w:val="434343"/>
          <w:sz w:val="20"/>
          <w:szCs w:val="20"/>
        </w:rPr>
      </w:pPr>
      <w:r w:rsidDel="00000000" w:rsidR="00000000" w:rsidRPr="00000000">
        <w:rPr>
          <w:rtl w:val="0"/>
        </w:rPr>
      </w:r>
    </w:p>
    <w:p w:rsidR="00000000" w:rsidDel="00000000" w:rsidP="00000000" w:rsidRDefault="00000000" w:rsidRPr="00000000" w14:paraId="00000042">
      <w:pPr>
        <w:spacing w:after="120" w:line="276.0005454545455" w:lineRule="auto"/>
        <w:ind w:right="260"/>
        <w:rPr>
          <w:rFonts w:ascii="Inter" w:cs="Inter" w:eastAsia="Inter" w:hAnsi="Inter"/>
          <w:color w:val="434343"/>
          <w:sz w:val="24"/>
          <w:szCs w:val="24"/>
        </w:rPr>
      </w:pPr>
      <w:r w:rsidDel="00000000" w:rsidR="00000000" w:rsidRPr="00000000">
        <w:rPr>
          <w:rFonts w:ascii="Inter" w:cs="Inter" w:eastAsia="Inter" w:hAnsi="Inter"/>
          <w:color w:val="434343"/>
          <w:sz w:val="20"/>
          <w:szCs w:val="20"/>
          <w:rtl w:val="0"/>
        </w:rPr>
        <w:br w:type="textWrapping"/>
      </w:r>
      <w:r w:rsidDel="00000000" w:rsidR="00000000" w:rsidRPr="00000000">
        <w:rPr>
          <w:rtl w:val="0"/>
        </w:rPr>
      </w:r>
    </w:p>
    <w:p w:rsidR="00000000" w:rsidDel="00000000" w:rsidP="00000000" w:rsidRDefault="00000000" w:rsidRPr="00000000" w14:paraId="00000043">
      <w:pPr>
        <w:spacing w:after="120" w:line="276.0005454545455" w:lineRule="auto"/>
        <w:ind w:right="260"/>
        <w:rPr>
          <w:rFonts w:ascii="Inter" w:cs="Inter" w:eastAsia="Inter" w:hAnsi="Inter"/>
          <w:color w:val="434343"/>
          <w:sz w:val="24"/>
          <w:szCs w:val="24"/>
        </w:rPr>
        <w:sectPr>
          <w:type w:val="continuous"/>
          <w:pgSz w:h="16834" w:w="11909" w:orient="portrait"/>
          <w:pgMar w:bottom="113.38582677165356" w:top="992.1259842519686" w:left="1247.2440944881891" w:right="1247.2440944881891" w:header="56.69291338582678" w:footer="56.69291338582678"/>
          <w:cols w:equalWidth="0" w:num="2">
            <w:col w:space="355.50000000000006" w:w="4527.76"/>
            <w:col w:space="0" w:w="4527.76"/>
          </w:cols>
        </w:sectPr>
      </w:pPr>
      <w:r w:rsidDel="00000000" w:rsidR="00000000" w:rsidRPr="00000000">
        <w:rPr>
          <w:rtl w:val="0"/>
        </w:rPr>
      </w:r>
    </w:p>
    <w:p w:rsidR="00000000" w:rsidDel="00000000" w:rsidP="00000000" w:rsidRDefault="00000000" w:rsidRPr="00000000" w14:paraId="00000044">
      <w:pPr>
        <w:spacing w:line="360" w:lineRule="auto"/>
        <w:ind w:right="-20"/>
        <w:rPr>
          <w:rFonts w:ascii="Inter" w:cs="Inter" w:eastAsia="Inter" w:hAnsi="Inter"/>
          <w:color w:val="434343"/>
          <w:sz w:val="36"/>
          <w:szCs w:val="36"/>
        </w:rPr>
      </w:pPr>
      <w:r w:rsidDel="00000000" w:rsidR="00000000" w:rsidRPr="00000000">
        <w:rPr>
          <w:rtl w:val="0"/>
        </w:rPr>
      </w:r>
    </w:p>
    <w:p w:rsidR="00000000" w:rsidDel="00000000" w:rsidP="00000000" w:rsidRDefault="00000000" w:rsidRPr="00000000" w14:paraId="00000045">
      <w:pPr>
        <w:spacing w:line="360" w:lineRule="auto"/>
        <w:ind w:right="-20"/>
        <w:rPr>
          <w:rFonts w:ascii="Inter" w:cs="Inter" w:eastAsia="Inter" w:hAnsi="Inter"/>
          <w:color w:val="434343"/>
          <w:sz w:val="24"/>
          <w:szCs w:val="24"/>
        </w:rPr>
      </w:pPr>
      <w:r w:rsidDel="00000000" w:rsidR="00000000" w:rsidRPr="00000000">
        <w:rPr>
          <w:rFonts w:ascii="Inter" w:cs="Inter" w:eastAsia="Inter" w:hAnsi="Inter"/>
          <w:color w:val="434343"/>
          <w:sz w:val="36"/>
          <w:szCs w:val="36"/>
          <w:rtl w:val="0"/>
        </w:rPr>
        <w:t xml:space="preserve">Die digitale Vermögensverwaltung Scalable Wealth</w:t>
      </w:r>
      <w:r w:rsidDel="00000000" w:rsidR="00000000" w:rsidRPr="00000000">
        <w:rPr>
          <w:rtl w:val="0"/>
        </w:rPr>
      </w:r>
    </w:p>
    <w:p w:rsidR="00000000" w:rsidDel="00000000" w:rsidP="00000000" w:rsidRDefault="00000000" w:rsidRPr="00000000" w14:paraId="00000046">
      <w:pPr>
        <w:widowControl w:val="0"/>
        <w:numPr>
          <w:ilvl w:val="0"/>
          <w:numId w:val="3"/>
        </w:numPr>
        <w:spacing w:after="120" w:line="276" w:lineRule="auto"/>
        <w:ind w:left="720" w:right="-20" w:hanging="360"/>
        <w:rPr>
          <w:rFonts w:ascii="Inter" w:cs="Inter" w:eastAsia="Inter" w:hAnsi="Inter"/>
          <w:color w:val="434343"/>
          <w:sz w:val="20"/>
          <w:szCs w:val="20"/>
        </w:rPr>
      </w:pPr>
      <w:r w:rsidDel="00000000" w:rsidR="00000000" w:rsidRPr="00000000">
        <w:rPr>
          <w:rFonts w:ascii="Inter" w:cs="Inter" w:eastAsia="Inter" w:hAnsi="Inter"/>
          <w:color w:val="434343"/>
          <w:sz w:val="20"/>
          <w:szCs w:val="20"/>
          <w:rtl w:val="0"/>
        </w:rPr>
        <w:t xml:space="preserve">Scalable Capital verwaltet für seine Kundinnen und Kunden individuell angepasste, global diversifizierte ETF-Portfolios für den langfristigen Vermögensaufbau. Der digitale Vermögensverwalter wählt aus mehreren tausend ETFs die besten und kosteneffizientesten vollkommen unabhängig aus. Je nach Anlageziel, Finanzsituation und individueller Risikotoleranz können Kundinnen und Kunden aus einer Vielzahl von Anlagekonzepten auswählen. </w:t>
      </w:r>
    </w:p>
    <w:p w:rsidR="00000000" w:rsidDel="00000000" w:rsidP="00000000" w:rsidRDefault="00000000" w:rsidRPr="00000000" w14:paraId="00000047">
      <w:pPr>
        <w:widowControl w:val="0"/>
        <w:numPr>
          <w:ilvl w:val="0"/>
          <w:numId w:val="3"/>
        </w:numPr>
        <w:spacing w:after="120" w:line="276" w:lineRule="auto"/>
        <w:ind w:left="720" w:right="-20" w:hanging="360"/>
        <w:rPr>
          <w:rFonts w:ascii="Inter" w:cs="Inter" w:eastAsia="Inter" w:hAnsi="Inter"/>
          <w:color w:val="434343"/>
          <w:sz w:val="20"/>
          <w:szCs w:val="20"/>
        </w:rPr>
      </w:pPr>
      <w:r w:rsidDel="00000000" w:rsidR="00000000" w:rsidRPr="00000000">
        <w:rPr>
          <w:rFonts w:ascii="Inter" w:cs="Inter" w:eastAsia="Inter" w:hAnsi="Inter"/>
          <w:color w:val="434343"/>
          <w:sz w:val="20"/>
          <w:szCs w:val="20"/>
          <w:rtl w:val="0"/>
        </w:rPr>
        <w:t xml:space="preserve">Ku</w:t>
      </w:r>
      <w:r w:rsidDel="00000000" w:rsidR="00000000" w:rsidRPr="00000000">
        <w:rPr>
          <w:rFonts w:ascii="Inter" w:cs="Inter" w:eastAsia="Inter" w:hAnsi="Inter"/>
          <w:color w:val="434343"/>
          <w:sz w:val="20"/>
          <w:szCs w:val="20"/>
          <w:rtl w:val="0"/>
        </w:rPr>
        <w:t xml:space="preserve">ndinnen und Kunden können mit Wealth Global in global gestreute ETF-Portfolios investieren, entweder klassisch, mit der Beimischung von Gold oder unter Berücksichtigung von ESG-Kriterien. </w:t>
      </w:r>
    </w:p>
    <w:p w:rsidR="00000000" w:rsidDel="00000000" w:rsidP="00000000" w:rsidRDefault="00000000" w:rsidRPr="00000000" w14:paraId="00000048">
      <w:pPr>
        <w:widowControl w:val="0"/>
        <w:numPr>
          <w:ilvl w:val="0"/>
          <w:numId w:val="3"/>
        </w:numPr>
        <w:spacing w:after="120" w:line="276" w:lineRule="auto"/>
        <w:ind w:left="720" w:right="-20" w:hanging="360"/>
        <w:rPr>
          <w:rFonts w:ascii="Inter" w:cs="Inter" w:eastAsia="Inter" w:hAnsi="Inter"/>
          <w:color w:val="434343"/>
          <w:sz w:val="20"/>
          <w:szCs w:val="20"/>
        </w:rPr>
      </w:pPr>
      <w:r w:rsidDel="00000000" w:rsidR="00000000" w:rsidRPr="00000000">
        <w:rPr>
          <w:rFonts w:ascii="Inter" w:cs="Inter" w:eastAsia="Inter" w:hAnsi="Inter"/>
          <w:color w:val="434343"/>
          <w:sz w:val="20"/>
          <w:szCs w:val="20"/>
          <w:rtl w:val="0"/>
        </w:rPr>
        <w:t xml:space="preserve">Das Weltportfolio Klassisch ermöglicht eine Investition in die wichtigsten Märkte der Welt. Je nach Risikobereitschaft kann eine Aktienquote zwischen 30 und 100 Prozent in Zehnerschritten ausgewählt werden. Der andere Teil des Portfolios besteht aus Anleihen-ETFs und Rohstoff-ETFs. </w:t>
      </w:r>
    </w:p>
    <w:p w:rsidR="00000000" w:rsidDel="00000000" w:rsidP="00000000" w:rsidRDefault="00000000" w:rsidRPr="00000000" w14:paraId="00000049">
      <w:pPr>
        <w:widowControl w:val="0"/>
        <w:numPr>
          <w:ilvl w:val="0"/>
          <w:numId w:val="3"/>
        </w:numPr>
        <w:spacing w:after="120" w:line="276" w:lineRule="auto"/>
        <w:ind w:left="720" w:right="-20" w:hanging="360"/>
        <w:rPr>
          <w:rFonts w:ascii="Inter" w:cs="Inter" w:eastAsia="Inter" w:hAnsi="Inter"/>
          <w:color w:val="434343"/>
          <w:sz w:val="20"/>
          <w:szCs w:val="20"/>
        </w:rPr>
      </w:pPr>
      <w:r w:rsidDel="00000000" w:rsidR="00000000" w:rsidRPr="00000000">
        <w:rPr>
          <w:rFonts w:ascii="Inter" w:cs="Inter" w:eastAsia="Inter" w:hAnsi="Inter"/>
          <w:color w:val="434343"/>
          <w:sz w:val="20"/>
          <w:szCs w:val="20"/>
          <w:rtl w:val="0"/>
        </w:rPr>
        <w:t xml:space="preserve">Mit Wealth Select können Kundinnen und Kunden aus spezifischen Konzepten, darunter Megatrends, Value &amp; Dividende oder ZinsInvest, ihre Vermögensverwaltung bedarfsgerecht auswählen. </w:t>
      </w:r>
    </w:p>
    <w:p w:rsidR="00000000" w:rsidDel="00000000" w:rsidP="00000000" w:rsidRDefault="00000000" w:rsidRPr="00000000" w14:paraId="0000004A">
      <w:pPr>
        <w:widowControl w:val="0"/>
        <w:numPr>
          <w:ilvl w:val="0"/>
          <w:numId w:val="3"/>
        </w:numPr>
        <w:spacing w:after="120" w:line="276" w:lineRule="auto"/>
        <w:ind w:left="720" w:right="-20" w:hanging="360"/>
        <w:rPr>
          <w:rFonts w:ascii="Inter" w:cs="Inter" w:eastAsia="Inter" w:hAnsi="Inter"/>
          <w:color w:val="434343"/>
          <w:sz w:val="20"/>
          <w:szCs w:val="20"/>
        </w:rPr>
      </w:pPr>
      <w:r w:rsidDel="00000000" w:rsidR="00000000" w:rsidRPr="00000000">
        <w:rPr>
          <w:rFonts w:ascii="Inter" w:cs="Inter" w:eastAsia="Inter" w:hAnsi="Inter"/>
          <w:color w:val="434343"/>
          <w:sz w:val="20"/>
          <w:szCs w:val="20"/>
          <w:rtl w:val="0"/>
        </w:rPr>
        <w:t xml:space="preserve">Die Identifizierung ist bequem per POSTIDENT Video oder in einer Postfiliale in Deutschland möglich. </w:t>
      </w:r>
    </w:p>
    <w:p w:rsidR="00000000" w:rsidDel="00000000" w:rsidP="00000000" w:rsidRDefault="00000000" w:rsidRPr="00000000" w14:paraId="0000004B">
      <w:pPr>
        <w:widowControl w:val="0"/>
        <w:spacing w:after="120" w:line="276" w:lineRule="auto"/>
        <w:ind w:left="0" w:right="-20" w:firstLine="0"/>
        <w:rPr>
          <w:rFonts w:ascii="Inter" w:cs="Inter" w:eastAsia="Inter" w:hAnsi="Inter"/>
          <w:color w:val="434343"/>
          <w:sz w:val="20"/>
          <w:szCs w:val="20"/>
        </w:rPr>
        <w:sectPr>
          <w:type w:val="continuous"/>
          <w:pgSz w:h="16834" w:w="11909" w:orient="portrait"/>
          <w:pgMar w:bottom="992.1259842519686" w:top="992.1259842519686" w:left="1247.2440944881891" w:right="1247.2440944881891" w:header="56.69291338582678" w:footer="566.9291338582677"/>
          <w:cols w:equalWidth="0" w:num="1">
            <w:col w:space="0" w:w="9411.02"/>
          </w:cols>
        </w:sectPr>
      </w:pPr>
      <w:r w:rsidDel="00000000" w:rsidR="00000000" w:rsidRPr="00000000">
        <w:rPr>
          <w:rtl w:val="0"/>
        </w:rPr>
      </w:r>
    </w:p>
    <w:p w:rsidR="00000000" w:rsidDel="00000000" w:rsidP="00000000" w:rsidRDefault="00000000" w:rsidRPr="00000000" w14:paraId="0000004C">
      <w:pPr>
        <w:spacing w:after="200" w:line="312" w:lineRule="auto"/>
        <w:ind w:right="-20"/>
        <w:rPr>
          <w:rFonts w:ascii="Inter" w:cs="Inter" w:eastAsia="Inter" w:hAnsi="Inter"/>
          <w:color w:val="434343"/>
          <w:sz w:val="24"/>
          <w:szCs w:val="24"/>
        </w:rPr>
      </w:pPr>
      <w:r w:rsidDel="00000000" w:rsidR="00000000" w:rsidRPr="00000000">
        <w:rPr>
          <w:rFonts w:ascii="Inter" w:cs="Inter" w:eastAsia="Inter" w:hAnsi="Inter"/>
          <w:color w:val="434343"/>
          <w:sz w:val="24"/>
          <w:szCs w:val="24"/>
          <w:rtl w:val="0"/>
        </w:rPr>
        <w:t xml:space="preserve">Das Preismodell</w:t>
      </w:r>
    </w:p>
    <w:p w:rsidR="00000000" w:rsidDel="00000000" w:rsidP="00000000" w:rsidRDefault="00000000" w:rsidRPr="00000000" w14:paraId="0000004D">
      <w:pPr>
        <w:widowControl w:val="0"/>
        <w:spacing w:after="120" w:lineRule="auto"/>
        <w:ind w:right="258"/>
        <w:jc w:val="both"/>
        <w:rPr>
          <w:rFonts w:ascii="Inter" w:cs="Inter" w:eastAsia="Inter" w:hAnsi="Inter"/>
          <w:color w:val="434343"/>
          <w:sz w:val="20"/>
          <w:szCs w:val="20"/>
        </w:rPr>
      </w:pPr>
      <w:r w:rsidDel="00000000" w:rsidR="00000000" w:rsidRPr="00000000">
        <w:rPr>
          <w:rFonts w:ascii="Inter" w:cs="Inter" w:eastAsia="Inter" w:hAnsi="Inter"/>
          <w:color w:val="434343"/>
          <w:sz w:val="20"/>
          <w:szCs w:val="20"/>
          <w:rtl w:val="0"/>
        </w:rPr>
        <w:t xml:space="preserve">Die Kosten für die Verwaltung und für den Wertpapierhandel (Transaktionskostenpauschale) summieren sich auf 0,75 Prozent p.a. Auf Anlagebestände jenseits von 100.000 Euro entfallen 0,69 Prozent Gebühren für Verwaltung und Handel. Auf Gelder, die 500.000 Euro übersteigen, entfallen nur noch 0,49 Prozent p.a. Die Kosten für die Finanzinstrumente (ETFs) betragen durchschnittlich 0,18 Prozent p.a. Wegen höherer Produktkosten ist die Pauschale bei der Anlagestrategie Megatrends höher. Es werden keine Performance-Gebühren erhoben. Ein Sparplan ist ohne Einmalzahlung bereits ab 20 Euro monatlich möglich und eine einmalige Geldanlage schon ab 20 Euro.</w:t>
      </w:r>
    </w:p>
    <w:p w:rsidR="00000000" w:rsidDel="00000000" w:rsidP="00000000" w:rsidRDefault="00000000" w:rsidRPr="00000000" w14:paraId="0000004E">
      <w:pPr>
        <w:widowControl w:val="0"/>
        <w:spacing w:after="120" w:line="276" w:lineRule="auto"/>
        <w:ind w:right="258"/>
        <w:rPr>
          <w:rFonts w:ascii="Inter" w:cs="Inter" w:eastAsia="Inter" w:hAnsi="Inter"/>
          <w:color w:val="434343"/>
          <w:sz w:val="20"/>
          <w:szCs w:val="20"/>
        </w:rPr>
      </w:pPr>
      <w:r w:rsidDel="00000000" w:rsidR="00000000" w:rsidRPr="00000000">
        <w:rPr>
          <w:rtl w:val="0"/>
        </w:rPr>
      </w:r>
    </w:p>
    <w:p w:rsidR="00000000" w:rsidDel="00000000" w:rsidP="00000000" w:rsidRDefault="00000000" w:rsidRPr="00000000" w14:paraId="0000004F">
      <w:pPr>
        <w:widowControl w:val="0"/>
        <w:spacing w:after="120" w:line="276" w:lineRule="auto"/>
        <w:ind w:left="0" w:right="258" w:firstLine="0"/>
        <w:rPr>
          <w:rFonts w:ascii="Inter" w:cs="Inter" w:eastAsia="Inter" w:hAnsi="Inter"/>
          <w:color w:val="434343"/>
          <w:sz w:val="24"/>
          <w:szCs w:val="24"/>
        </w:rPr>
      </w:pPr>
      <w:r w:rsidDel="00000000" w:rsidR="00000000" w:rsidRPr="00000000">
        <w:rPr>
          <w:rtl w:val="0"/>
        </w:rPr>
      </w:r>
    </w:p>
    <w:p w:rsidR="00000000" w:rsidDel="00000000" w:rsidP="00000000" w:rsidRDefault="00000000" w:rsidRPr="00000000" w14:paraId="00000050">
      <w:pPr>
        <w:widowControl w:val="0"/>
        <w:spacing w:after="120" w:line="276" w:lineRule="auto"/>
        <w:ind w:left="0" w:right="258" w:firstLine="0"/>
        <w:rPr>
          <w:rFonts w:ascii="Inter" w:cs="Inter" w:eastAsia="Inter" w:hAnsi="Inter"/>
          <w:color w:val="434343"/>
          <w:sz w:val="24"/>
          <w:szCs w:val="24"/>
        </w:rPr>
      </w:pPr>
      <w:r w:rsidDel="00000000" w:rsidR="00000000" w:rsidRPr="00000000">
        <w:rPr>
          <w:rtl w:val="0"/>
        </w:rPr>
      </w:r>
    </w:p>
    <w:p w:rsidR="00000000" w:rsidDel="00000000" w:rsidP="00000000" w:rsidRDefault="00000000" w:rsidRPr="00000000" w14:paraId="00000051">
      <w:pPr>
        <w:widowControl w:val="0"/>
        <w:spacing w:after="200" w:line="276" w:lineRule="auto"/>
        <w:ind w:left="0" w:right="258" w:firstLine="0"/>
        <w:rPr>
          <w:rFonts w:ascii="Inter" w:cs="Inter" w:eastAsia="Inter" w:hAnsi="Inter"/>
          <w:color w:val="434343"/>
          <w:sz w:val="20"/>
          <w:szCs w:val="20"/>
        </w:rPr>
      </w:pPr>
      <w:r w:rsidDel="00000000" w:rsidR="00000000" w:rsidRPr="00000000">
        <w:rPr>
          <w:rFonts w:ascii="Inter" w:cs="Inter" w:eastAsia="Inter" w:hAnsi="Inter"/>
          <w:color w:val="434343"/>
          <w:sz w:val="24"/>
          <w:szCs w:val="24"/>
          <w:rtl w:val="0"/>
        </w:rPr>
        <w:t xml:space="preserve">Mehrwert für Anlegende</w:t>
      </w:r>
      <w:r w:rsidDel="00000000" w:rsidR="00000000" w:rsidRPr="00000000">
        <w:rPr>
          <w:rtl w:val="0"/>
        </w:rPr>
      </w:r>
    </w:p>
    <w:p w:rsidR="00000000" w:rsidDel="00000000" w:rsidP="00000000" w:rsidRDefault="00000000" w:rsidRPr="00000000" w14:paraId="00000052">
      <w:pPr>
        <w:widowControl w:val="0"/>
        <w:numPr>
          <w:ilvl w:val="0"/>
          <w:numId w:val="1"/>
        </w:numPr>
        <w:spacing w:after="200" w:line="240" w:lineRule="auto"/>
        <w:ind w:left="360" w:right="39"/>
        <w:rPr>
          <w:rFonts w:ascii="Inter" w:cs="Inter" w:eastAsia="Inter" w:hAnsi="Inter"/>
          <w:color w:val="434343"/>
          <w:sz w:val="20"/>
          <w:szCs w:val="20"/>
        </w:rPr>
      </w:pPr>
      <w:r w:rsidDel="00000000" w:rsidR="00000000" w:rsidRPr="00000000">
        <w:rPr>
          <w:rFonts w:ascii="Inter" w:cs="Inter" w:eastAsia="Inter" w:hAnsi="Inter"/>
          <w:color w:val="434343"/>
          <w:sz w:val="20"/>
          <w:szCs w:val="20"/>
          <w:rtl w:val="0"/>
        </w:rPr>
        <w:t xml:space="preserve">Mit Scalable Wealth ist die Geldanlage entspannt, intelligent und automatisiert.</w:t>
      </w:r>
    </w:p>
    <w:p w:rsidR="00000000" w:rsidDel="00000000" w:rsidP="00000000" w:rsidRDefault="00000000" w:rsidRPr="00000000" w14:paraId="00000053">
      <w:pPr>
        <w:widowControl w:val="0"/>
        <w:numPr>
          <w:ilvl w:val="0"/>
          <w:numId w:val="1"/>
        </w:numPr>
        <w:spacing w:after="120" w:before="11" w:line="240" w:lineRule="auto"/>
        <w:ind w:left="360" w:right="39"/>
        <w:rPr>
          <w:rFonts w:ascii="Inter" w:cs="Inter" w:eastAsia="Inter" w:hAnsi="Inter"/>
          <w:color w:val="434343"/>
          <w:sz w:val="20"/>
          <w:szCs w:val="20"/>
        </w:rPr>
      </w:pPr>
      <w:r w:rsidDel="00000000" w:rsidR="00000000" w:rsidRPr="00000000">
        <w:rPr>
          <w:rFonts w:ascii="Inter" w:cs="Inter" w:eastAsia="Inter" w:hAnsi="Inter"/>
          <w:color w:val="434343"/>
          <w:sz w:val="20"/>
          <w:szCs w:val="20"/>
          <w:rtl w:val="0"/>
        </w:rPr>
        <w:t xml:space="preserve">Große Auswahl an Anlagestrategien, um individuelle Ziele zu erreichen</w:t>
      </w:r>
    </w:p>
    <w:p w:rsidR="00000000" w:rsidDel="00000000" w:rsidP="00000000" w:rsidRDefault="00000000" w:rsidRPr="00000000" w14:paraId="00000054">
      <w:pPr>
        <w:widowControl w:val="0"/>
        <w:numPr>
          <w:ilvl w:val="0"/>
          <w:numId w:val="1"/>
        </w:numPr>
        <w:spacing w:after="120" w:before="11" w:line="240" w:lineRule="auto"/>
        <w:ind w:left="360" w:right="39"/>
        <w:rPr>
          <w:rFonts w:ascii="Inter" w:cs="Inter" w:eastAsia="Inter" w:hAnsi="Inter"/>
          <w:color w:val="434343"/>
          <w:sz w:val="20"/>
          <w:szCs w:val="20"/>
        </w:rPr>
      </w:pPr>
      <w:r w:rsidDel="00000000" w:rsidR="00000000" w:rsidRPr="00000000">
        <w:rPr>
          <w:rFonts w:ascii="Inter" w:cs="Inter" w:eastAsia="Inter" w:hAnsi="Inter"/>
          <w:color w:val="434343"/>
          <w:sz w:val="20"/>
          <w:szCs w:val="20"/>
          <w:rtl w:val="0"/>
        </w:rPr>
        <w:t xml:space="preserve">Faire und kosteneffiziente Gebührenstruktur ermöglicht langfristigen Vermögensaufbau</w:t>
      </w:r>
    </w:p>
    <w:p w:rsidR="00000000" w:rsidDel="00000000" w:rsidP="00000000" w:rsidRDefault="00000000" w:rsidRPr="00000000" w14:paraId="00000055">
      <w:pPr>
        <w:widowControl w:val="0"/>
        <w:numPr>
          <w:ilvl w:val="0"/>
          <w:numId w:val="1"/>
        </w:numPr>
        <w:spacing w:after="120" w:line="240" w:lineRule="auto"/>
        <w:ind w:left="360" w:right="39"/>
        <w:rPr>
          <w:rFonts w:ascii="Inter" w:cs="Inter" w:eastAsia="Inter" w:hAnsi="Inter"/>
          <w:color w:val="434343"/>
          <w:sz w:val="20"/>
          <w:szCs w:val="20"/>
        </w:rPr>
      </w:pPr>
      <w:r w:rsidDel="00000000" w:rsidR="00000000" w:rsidRPr="00000000">
        <w:rPr>
          <w:rFonts w:ascii="Inter" w:cs="Inter" w:eastAsia="Inter" w:hAnsi="Inter"/>
          <w:color w:val="434343"/>
          <w:sz w:val="20"/>
          <w:szCs w:val="20"/>
          <w:rtl w:val="0"/>
        </w:rPr>
        <w:t xml:space="preserve">Sparpläne und Einmalzahlung schon ab 20 Euro monatlich </w:t>
      </w:r>
    </w:p>
    <w:p w:rsidR="00000000" w:rsidDel="00000000" w:rsidP="00000000" w:rsidRDefault="00000000" w:rsidRPr="00000000" w14:paraId="00000056">
      <w:pPr>
        <w:widowControl w:val="0"/>
        <w:numPr>
          <w:ilvl w:val="0"/>
          <w:numId w:val="1"/>
        </w:numPr>
        <w:spacing w:after="120" w:line="240" w:lineRule="auto"/>
        <w:ind w:left="360" w:right="39"/>
        <w:rPr>
          <w:rFonts w:ascii="Inter" w:cs="Inter" w:eastAsia="Inter" w:hAnsi="Inter"/>
          <w:color w:val="434343"/>
          <w:sz w:val="20"/>
          <w:szCs w:val="20"/>
        </w:rPr>
      </w:pPr>
      <w:r w:rsidDel="00000000" w:rsidR="00000000" w:rsidRPr="00000000">
        <w:rPr>
          <w:rFonts w:ascii="Inter" w:cs="Inter" w:eastAsia="Inter" w:hAnsi="Inter"/>
          <w:color w:val="434343"/>
          <w:sz w:val="20"/>
          <w:szCs w:val="20"/>
          <w:rtl w:val="0"/>
        </w:rPr>
        <w:t xml:space="preserve">Unabhängige Auswahl der vorteilhaftesten ETFs aus über 2.000 ETFs in einem mehrstufigen Verfahren </w:t>
      </w:r>
    </w:p>
    <w:p w:rsidR="00000000" w:rsidDel="00000000" w:rsidP="00000000" w:rsidRDefault="00000000" w:rsidRPr="00000000" w14:paraId="00000057">
      <w:pPr>
        <w:widowControl w:val="0"/>
        <w:numPr>
          <w:ilvl w:val="0"/>
          <w:numId w:val="1"/>
        </w:numPr>
        <w:spacing w:after="120" w:line="240" w:lineRule="auto"/>
        <w:ind w:left="360" w:right="39"/>
        <w:rPr>
          <w:rFonts w:ascii="Inter" w:cs="Inter" w:eastAsia="Inter" w:hAnsi="Inter"/>
          <w:color w:val="434343"/>
          <w:sz w:val="20"/>
          <w:szCs w:val="20"/>
        </w:rPr>
      </w:pPr>
      <w:r w:rsidDel="00000000" w:rsidR="00000000" w:rsidRPr="00000000">
        <w:rPr>
          <w:rFonts w:ascii="Inter" w:cs="Inter" w:eastAsia="Inter" w:hAnsi="Inter"/>
          <w:color w:val="434343"/>
          <w:sz w:val="20"/>
          <w:szCs w:val="20"/>
          <w:rtl w:val="0"/>
        </w:rPr>
        <w:t xml:space="preserve">Nach und nach Vermögen aufbauen mit Sparplänen und entspannt in Rente mit flexiblen Entnahmeplänen</w:t>
      </w:r>
    </w:p>
    <w:p w:rsidR="00000000" w:rsidDel="00000000" w:rsidP="00000000" w:rsidRDefault="00000000" w:rsidRPr="00000000" w14:paraId="00000058">
      <w:pPr>
        <w:widowControl w:val="0"/>
        <w:numPr>
          <w:ilvl w:val="0"/>
          <w:numId w:val="1"/>
        </w:numPr>
        <w:spacing w:after="120" w:line="240" w:lineRule="auto"/>
        <w:ind w:left="360" w:right="39"/>
        <w:rPr>
          <w:rFonts w:ascii="Inter" w:cs="Inter" w:eastAsia="Inter" w:hAnsi="Inter"/>
          <w:color w:val="434343"/>
          <w:sz w:val="20"/>
          <w:szCs w:val="20"/>
        </w:rPr>
      </w:pPr>
      <w:r w:rsidDel="00000000" w:rsidR="00000000" w:rsidRPr="00000000">
        <w:rPr>
          <w:rFonts w:ascii="Inter" w:cs="Inter" w:eastAsia="Inter" w:hAnsi="Inter"/>
          <w:color w:val="434343"/>
          <w:sz w:val="20"/>
          <w:szCs w:val="20"/>
          <w:rtl w:val="0"/>
        </w:rPr>
        <w:t xml:space="preserve">Persönliche Kundenbetreuung per Telefon, Chat sowie per E-Mail.</w:t>
      </w:r>
    </w:p>
    <w:p w:rsidR="00000000" w:rsidDel="00000000" w:rsidP="00000000" w:rsidRDefault="00000000" w:rsidRPr="00000000" w14:paraId="00000059">
      <w:pPr>
        <w:widowControl w:val="0"/>
        <w:numPr>
          <w:ilvl w:val="0"/>
          <w:numId w:val="1"/>
        </w:numPr>
        <w:spacing w:after="120" w:line="240" w:lineRule="auto"/>
        <w:ind w:left="360" w:right="39"/>
        <w:rPr>
          <w:rFonts w:ascii="Inter" w:cs="Inter" w:eastAsia="Inter" w:hAnsi="Inter"/>
          <w:color w:val="434343"/>
          <w:sz w:val="20"/>
          <w:szCs w:val="20"/>
        </w:rPr>
      </w:pPr>
      <w:r w:rsidDel="00000000" w:rsidR="00000000" w:rsidRPr="00000000">
        <w:rPr>
          <w:rFonts w:ascii="Inter" w:cs="Inter" w:eastAsia="Inter" w:hAnsi="Inter"/>
          <w:color w:val="434343"/>
          <w:sz w:val="20"/>
          <w:szCs w:val="20"/>
          <w:rtl w:val="0"/>
        </w:rPr>
        <w:t xml:space="preserve">ESG-Portfolio mit SRI-Kriterien</w:t>
      </w:r>
    </w:p>
    <w:p w:rsidR="00000000" w:rsidDel="00000000" w:rsidP="00000000" w:rsidRDefault="00000000" w:rsidRPr="00000000" w14:paraId="0000005A">
      <w:pPr>
        <w:widowControl w:val="0"/>
        <w:spacing w:after="120" w:line="240" w:lineRule="auto"/>
        <w:ind w:left="360" w:right="39" w:firstLine="0"/>
        <w:rPr>
          <w:rFonts w:ascii="Inter" w:cs="Inter" w:eastAsia="Inter" w:hAnsi="Inter"/>
          <w:color w:val="434343"/>
          <w:sz w:val="20"/>
          <w:szCs w:val="20"/>
        </w:rPr>
      </w:pPr>
      <w:r w:rsidDel="00000000" w:rsidR="00000000" w:rsidRPr="00000000">
        <w:rPr>
          <w:rtl w:val="0"/>
        </w:rPr>
      </w:r>
    </w:p>
    <w:p w:rsidR="00000000" w:rsidDel="00000000" w:rsidP="00000000" w:rsidRDefault="00000000" w:rsidRPr="00000000" w14:paraId="0000005B">
      <w:pPr>
        <w:widowControl w:val="0"/>
        <w:spacing w:after="120" w:line="240" w:lineRule="auto"/>
        <w:ind w:left="0" w:right="39" w:firstLine="0"/>
        <w:rPr>
          <w:rFonts w:ascii="Inter" w:cs="Inter" w:eastAsia="Inter" w:hAnsi="Inter"/>
          <w:color w:val="434343"/>
          <w:sz w:val="20"/>
          <w:szCs w:val="20"/>
        </w:rPr>
        <w:sectPr>
          <w:type w:val="continuous"/>
          <w:pgSz w:h="16834" w:w="11909" w:orient="portrait"/>
          <w:pgMar w:bottom="992.1259842519686" w:top="992.1259842519686" w:left="1247.2440944881891" w:right="1247.2440944881891" w:header="56.69291338582678" w:footer="56.69291338582678"/>
          <w:cols w:equalWidth="0" w:num="2">
            <w:col w:space="355.50000000000006" w:w="4527.76"/>
            <w:col w:space="0" w:w="4527.76"/>
          </w:cols>
        </w:sectPr>
      </w:pPr>
      <w:r w:rsidDel="00000000" w:rsidR="00000000" w:rsidRPr="00000000">
        <w:rPr>
          <w:rtl w:val="0"/>
        </w:rPr>
      </w:r>
    </w:p>
    <w:p w:rsidR="00000000" w:rsidDel="00000000" w:rsidP="00000000" w:rsidRDefault="00000000" w:rsidRPr="00000000" w14:paraId="0000005C">
      <w:pPr>
        <w:spacing w:line="360" w:lineRule="auto"/>
        <w:ind w:right="-20"/>
        <w:rPr>
          <w:rFonts w:ascii="Inter" w:cs="Inter" w:eastAsia="Inter" w:hAnsi="Inter"/>
          <w:color w:val="434343"/>
          <w:sz w:val="36"/>
          <w:szCs w:val="36"/>
        </w:rPr>
      </w:pPr>
      <w:r w:rsidDel="00000000" w:rsidR="00000000" w:rsidRPr="00000000">
        <w:rPr>
          <w:rtl w:val="0"/>
        </w:rPr>
      </w:r>
    </w:p>
    <w:p w:rsidR="00000000" w:rsidDel="00000000" w:rsidP="00000000" w:rsidRDefault="00000000" w:rsidRPr="00000000" w14:paraId="0000005D">
      <w:pPr>
        <w:spacing w:line="360" w:lineRule="auto"/>
        <w:ind w:right="-20"/>
        <w:rPr>
          <w:rFonts w:ascii="Inter" w:cs="Inter" w:eastAsia="Inter" w:hAnsi="Inter"/>
          <w:color w:val="434343"/>
          <w:sz w:val="36"/>
          <w:szCs w:val="36"/>
        </w:rPr>
      </w:pPr>
      <w:r w:rsidDel="00000000" w:rsidR="00000000" w:rsidRPr="00000000">
        <w:rPr>
          <w:rtl w:val="0"/>
        </w:rPr>
      </w:r>
    </w:p>
    <w:p w:rsidR="00000000" w:rsidDel="00000000" w:rsidP="00000000" w:rsidRDefault="00000000" w:rsidRPr="00000000" w14:paraId="0000005E">
      <w:pPr>
        <w:spacing w:line="360" w:lineRule="auto"/>
        <w:ind w:right="-20"/>
        <w:rPr>
          <w:rFonts w:ascii="Inter" w:cs="Inter" w:eastAsia="Inter" w:hAnsi="Inter"/>
          <w:color w:val="434343"/>
          <w:sz w:val="24"/>
          <w:szCs w:val="24"/>
        </w:rPr>
      </w:pPr>
      <w:r w:rsidDel="00000000" w:rsidR="00000000" w:rsidRPr="00000000">
        <w:rPr>
          <w:rFonts w:ascii="Inter" w:cs="Inter" w:eastAsia="Inter" w:hAnsi="Inter"/>
          <w:color w:val="434343"/>
          <w:sz w:val="36"/>
          <w:szCs w:val="36"/>
          <w:rtl w:val="0"/>
        </w:rPr>
        <w:t xml:space="preserve">Das B2B-Geschäft von Scalable Capital</w:t>
      </w:r>
      <w:r w:rsidDel="00000000" w:rsidR="00000000" w:rsidRPr="00000000">
        <w:rPr>
          <w:rtl w:val="0"/>
        </w:rPr>
      </w:r>
    </w:p>
    <w:p w:rsidR="00000000" w:rsidDel="00000000" w:rsidP="00000000" w:rsidRDefault="00000000" w:rsidRPr="00000000" w14:paraId="0000005F">
      <w:pPr>
        <w:widowControl w:val="0"/>
        <w:numPr>
          <w:ilvl w:val="0"/>
          <w:numId w:val="2"/>
        </w:numPr>
        <w:spacing w:after="120" w:line="240" w:lineRule="auto"/>
        <w:ind w:left="360" w:right="88"/>
        <w:rPr>
          <w:rFonts w:ascii="Inter" w:cs="Inter" w:eastAsia="Inter" w:hAnsi="Inter"/>
          <w:color w:val="434343"/>
          <w:sz w:val="20"/>
          <w:szCs w:val="20"/>
        </w:rPr>
      </w:pPr>
      <w:r w:rsidDel="00000000" w:rsidR="00000000" w:rsidRPr="00000000">
        <w:rPr>
          <w:rFonts w:ascii="Inter" w:cs="Inter" w:eastAsia="Inter" w:hAnsi="Inter"/>
          <w:color w:val="434343"/>
          <w:sz w:val="20"/>
          <w:szCs w:val="20"/>
          <w:rtl w:val="0"/>
        </w:rPr>
        <w:t xml:space="preserve">Neben den Services für Privatanleger:innen (B2C) verfolgt Scalable Capital zahlreiche Kooperationen mit renommierten Unternehmen (B2B). </w:t>
      </w:r>
    </w:p>
    <w:p w:rsidR="00000000" w:rsidDel="00000000" w:rsidP="00000000" w:rsidRDefault="00000000" w:rsidRPr="00000000" w14:paraId="00000060">
      <w:pPr>
        <w:widowControl w:val="0"/>
        <w:numPr>
          <w:ilvl w:val="0"/>
          <w:numId w:val="2"/>
        </w:numPr>
        <w:spacing w:after="120" w:line="240" w:lineRule="auto"/>
        <w:ind w:left="360" w:right="88"/>
        <w:rPr>
          <w:rFonts w:ascii="Inter" w:cs="Inter" w:eastAsia="Inter" w:hAnsi="Inter"/>
          <w:color w:val="434343"/>
          <w:sz w:val="20"/>
          <w:szCs w:val="20"/>
        </w:rPr>
      </w:pPr>
      <w:r w:rsidDel="00000000" w:rsidR="00000000" w:rsidRPr="00000000">
        <w:rPr>
          <w:rFonts w:ascii="Inter" w:cs="Inter" w:eastAsia="Inter" w:hAnsi="Inter"/>
          <w:color w:val="434343"/>
          <w:sz w:val="20"/>
          <w:szCs w:val="20"/>
          <w:rtl w:val="0"/>
        </w:rPr>
        <w:t xml:space="preserve">Mit seiner skalierbaren Technologieplattform bietet Scalable Capital verschiedenen Unternehmen Vermögensverwaltungsplattformen im Rahmen von White-Label-Lösungen.</w:t>
      </w:r>
    </w:p>
    <w:p w:rsidR="00000000" w:rsidDel="00000000" w:rsidP="00000000" w:rsidRDefault="00000000" w:rsidRPr="00000000" w14:paraId="00000061">
      <w:pPr>
        <w:widowControl w:val="0"/>
        <w:numPr>
          <w:ilvl w:val="0"/>
          <w:numId w:val="2"/>
        </w:numPr>
        <w:spacing w:after="120" w:line="240" w:lineRule="auto"/>
        <w:ind w:left="360" w:right="88"/>
        <w:rPr>
          <w:rFonts w:ascii="Nunito" w:cs="Nunito" w:eastAsia="Nunito" w:hAnsi="Nunito"/>
          <w:color w:val="434343"/>
          <w:sz w:val="20"/>
          <w:szCs w:val="20"/>
        </w:rPr>
      </w:pPr>
      <w:r w:rsidDel="00000000" w:rsidR="00000000" w:rsidRPr="00000000">
        <w:rPr>
          <w:rFonts w:ascii="Inter" w:cs="Inter" w:eastAsia="Inter" w:hAnsi="Inter"/>
          <w:color w:val="434343"/>
          <w:sz w:val="20"/>
          <w:szCs w:val="20"/>
          <w:rtl w:val="0"/>
        </w:rPr>
        <w:t xml:space="preserve">In Österreich kooperiert Scalable Capital mit der Raiffeisen Bankengruppe. Zu den langjährigen Partnern in Deutschland zählt die ING Deutschland, mit Oskar nutzt eine auf Familien spezialisierte digitale Vermögensverwaltung die Technologie von Scalable Capital.</w:t>
      </w:r>
    </w:p>
    <w:p w:rsidR="00000000" w:rsidDel="00000000" w:rsidP="00000000" w:rsidRDefault="00000000" w:rsidRPr="00000000" w14:paraId="00000062">
      <w:pPr>
        <w:widowControl w:val="0"/>
        <w:spacing w:after="120" w:line="360" w:lineRule="auto"/>
        <w:ind w:right="88"/>
        <w:rPr>
          <w:rFonts w:ascii="Inter" w:cs="Inter" w:eastAsia="Inter" w:hAnsi="Inter"/>
          <w:color w:val="434343"/>
          <w:sz w:val="20"/>
          <w:szCs w:val="20"/>
        </w:rPr>
      </w:pPr>
      <w:r w:rsidDel="00000000" w:rsidR="00000000" w:rsidRPr="00000000">
        <w:pict>
          <v:rect style="width:0.0pt;height:1.5pt" o:hr="t" o:hrstd="t" o:hralign="center" fillcolor="#A0A0A0" stroked="f"/>
        </w:pict>
      </w:r>
      <w:r w:rsidDel="00000000" w:rsidR="00000000" w:rsidRPr="00000000">
        <w:rPr>
          <w:rtl w:val="0"/>
        </w:rPr>
      </w:r>
    </w:p>
    <w:tbl>
      <w:tblPr>
        <w:tblStyle w:val="Table2"/>
        <w:tblW w:w="93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30"/>
        <w:gridCol w:w="3960"/>
        <w:tblGridChange w:id="0">
          <w:tblGrid>
            <w:gridCol w:w="5430"/>
            <w:gridCol w:w="3960"/>
          </w:tblGrid>
        </w:tblGridChange>
      </w:tblGrid>
      <w:tr>
        <w:trPr>
          <w:cantSplit w:val="0"/>
          <w:trHeight w:val="1860" w:hRule="atLeast"/>
          <w:tblHeader w:val="0"/>
        </w:trPr>
        <w:tc>
          <w:tcPr>
            <w:tcBorders>
              <w:top w:color="ffffff" w:space="0" w:sz="8" w:val="single"/>
              <w:left w:color="ffffff" w:space="0" w:sz="8" w:val="single"/>
              <w:bottom w:color="ffffff" w:space="0" w:sz="8" w:val="single"/>
              <w:right w:color="efefe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63">
            <w:pPr>
              <w:widowControl w:val="0"/>
              <w:spacing w:before="8" w:line="240" w:lineRule="auto"/>
              <w:ind w:left="0" w:right="-20" w:firstLine="0"/>
              <w:rPr>
                <w:rFonts w:ascii="Inter" w:cs="Inter" w:eastAsia="Inter" w:hAnsi="Inter"/>
                <w:color w:val="434343"/>
                <w:sz w:val="20"/>
                <w:szCs w:val="20"/>
              </w:rPr>
            </w:pPr>
            <w:r w:rsidDel="00000000" w:rsidR="00000000" w:rsidRPr="00000000">
              <w:rPr>
                <w:rtl w:val="0"/>
              </w:rPr>
            </w:r>
          </w:p>
          <w:p w:rsidR="00000000" w:rsidDel="00000000" w:rsidP="00000000" w:rsidRDefault="00000000" w:rsidRPr="00000000" w14:paraId="00000064">
            <w:pPr>
              <w:widowControl w:val="0"/>
              <w:spacing w:before="8" w:line="240" w:lineRule="auto"/>
              <w:ind w:left="493" w:right="-20" w:firstLine="0"/>
              <w:rPr>
                <w:rFonts w:ascii="Inter" w:cs="Inter" w:eastAsia="Inter" w:hAnsi="Inter"/>
                <w:color w:val="434343"/>
                <w:sz w:val="20"/>
                <w:szCs w:val="20"/>
              </w:rPr>
            </w:pPr>
            <w:r w:rsidDel="00000000" w:rsidR="00000000" w:rsidRPr="00000000">
              <w:rPr>
                <w:rFonts w:ascii="Inter" w:cs="Inter" w:eastAsia="Inter" w:hAnsi="Inter"/>
                <w:color w:val="434343"/>
                <w:sz w:val="20"/>
                <w:szCs w:val="20"/>
                <w:rtl w:val="0"/>
              </w:rPr>
              <w:t xml:space="preserve">Ina Froehner, VP Communications &amp; Public Affairs</w:t>
            </w:r>
          </w:p>
          <w:p w:rsidR="00000000" w:rsidDel="00000000" w:rsidP="00000000" w:rsidRDefault="00000000" w:rsidRPr="00000000" w14:paraId="00000065">
            <w:pPr>
              <w:widowControl w:val="0"/>
              <w:spacing w:before="8" w:line="240" w:lineRule="auto"/>
              <w:ind w:left="493" w:right="-20" w:firstLine="0"/>
              <w:rPr>
                <w:rFonts w:ascii="Inter" w:cs="Inter" w:eastAsia="Inter" w:hAnsi="Inter"/>
                <w:color w:val="434343"/>
                <w:sz w:val="20"/>
                <w:szCs w:val="20"/>
              </w:rPr>
            </w:pPr>
            <w:r w:rsidDel="00000000" w:rsidR="00000000" w:rsidRPr="00000000">
              <w:rPr>
                <w:rFonts w:ascii="Inter" w:cs="Inter" w:eastAsia="Inter" w:hAnsi="Inter"/>
                <w:color w:val="434343"/>
                <w:sz w:val="20"/>
                <w:szCs w:val="20"/>
                <w:rtl w:val="0"/>
              </w:rPr>
              <w:t xml:space="preserve">E:  </w:t>
            </w:r>
            <w:hyperlink r:id="rId23">
              <w:r w:rsidDel="00000000" w:rsidR="00000000" w:rsidRPr="00000000">
                <w:rPr>
                  <w:rFonts w:ascii="Inter" w:cs="Inter" w:eastAsia="Inter" w:hAnsi="Inter"/>
                  <w:color w:val="434343"/>
                  <w:sz w:val="20"/>
                  <w:szCs w:val="20"/>
                  <w:rtl w:val="0"/>
                </w:rPr>
                <w:t xml:space="preserve">presse@scalable.capital</w:t>
              </w:r>
            </w:hyperlink>
            <w:r w:rsidDel="00000000" w:rsidR="00000000" w:rsidRPr="00000000">
              <w:rPr>
                <w:rtl w:val="0"/>
              </w:rPr>
            </w:r>
          </w:p>
          <w:p w:rsidR="00000000" w:rsidDel="00000000" w:rsidP="00000000" w:rsidRDefault="00000000" w:rsidRPr="00000000" w14:paraId="00000066">
            <w:pPr>
              <w:widowControl w:val="0"/>
              <w:spacing w:before="16" w:line="240" w:lineRule="auto"/>
              <w:ind w:left="493" w:right="-20" w:firstLine="0"/>
              <w:rPr>
                <w:rFonts w:ascii="Inter" w:cs="Inter" w:eastAsia="Inter" w:hAnsi="Inter"/>
                <w:color w:val="434343"/>
                <w:sz w:val="20"/>
                <w:szCs w:val="20"/>
              </w:rPr>
            </w:pPr>
            <w:r w:rsidDel="00000000" w:rsidR="00000000" w:rsidRPr="00000000">
              <w:rPr>
                <w:rFonts w:ascii="Inter" w:cs="Inter" w:eastAsia="Inter" w:hAnsi="Inter"/>
                <w:color w:val="434343"/>
                <w:sz w:val="20"/>
                <w:szCs w:val="20"/>
                <w:rtl w:val="0"/>
              </w:rPr>
              <w:t xml:space="preserve">T:  +49.160.94.43.59.32</w:t>
            </w:r>
          </w:p>
          <w:p w:rsidR="00000000" w:rsidDel="00000000" w:rsidP="00000000" w:rsidRDefault="00000000" w:rsidRPr="00000000" w14:paraId="00000067">
            <w:pPr>
              <w:widowControl w:val="0"/>
              <w:spacing w:before="16" w:line="240" w:lineRule="auto"/>
              <w:ind w:left="493" w:right="-20" w:firstLine="0"/>
              <w:rPr>
                <w:rFonts w:ascii="Inter" w:cs="Inter" w:eastAsia="Inter" w:hAnsi="Inter"/>
                <w:color w:val="434343"/>
              </w:rPr>
            </w:pPr>
            <w:r w:rsidDel="00000000" w:rsidR="00000000" w:rsidRPr="00000000">
              <w:rPr>
                <w:rFonts w:ascii="Inter" w:cs="Inter" w:eastAsia="Inter" w:hAnsi="Inter"/>
                <w:color w:val="434343"/>
                <w:sz w:val="20"/>
                <w:szCs w:val="20"/>
                <w:rtl w:val="0"/>
              </w:rPr>
              <w:t xml:space="preserve">A:  Seitzstraße 8e, 80538 München</w:t>
            </w:r>
            <w:r w:rsidDel="00000000" w:rsidR="00000000" w:rsidRPr="00000000">
              <w:rPr>
                <w:rFonts w:ascii="Inter" w:cs="Inter" w:eastAsia="Inter" w:hAnsi="Inter"/>
                <w:color w:val="434343"/>
                <w:rtl w:val="0"/>
              </w:rPr>
              <w:tab/>
            </w:r>
          </w:p>
          <w:p w:rsidR="00000000" w:rsidDel="00000000" w:rsidP="00000000" w:rsidRDefault="00000000" w:rsidRPr="00000000" w14:paraId="00000068">
            <w:pPr>
              <w:widowControl w:val="0"/>
              <w:tabs>
                <w:tab w:val="left" w:leader="none" w:pos="9091"/>
              </w:tabs>
              <w:spacing w:line="240" w:lineRule="auto"/>
              <w:ind w:left="493" w:right="-20" w:firstLine="0"/>
              <w:rPr>
                <w:rFonts w:ascii="Inter" w:cs="Inter" w:eastAsia="Inter" w:hAnsi="Inter"/>
                <w:color w:val="434343"/>
                <w:sz w:val="18"/>
                <w:szCs w:val="18"/>
              </w:rPr>
            </w:pPr>
            <w:hyperlink r:id="rId24">
              <w:r w:rsidDel="00000000" w:rsidR="00000000" w:rsidRPr="00000000">
                <w:rPr>
                  <w:rFonts w:ascii="Inter" w:cs="Inter" w:eastAsia="Inter" w:hAnsi="Inter"/>
                  <w:b w:val="1"/>
                  <w:color w:val="434343"/>
                  <w:sz w:val="24"/>
                  <w:szCs w:val="24"/>
                  <w:rtl w:val="0"/>
                </w:rPr>
                <w:t xml:space="preserve">www.scalable.capital</w:t>
              </w:r>
            </w:hyperlink>
            <w:r w:rsidDel="00000000" w:rsidR="00000000" w:rsidRPr="00000000">
              <w:rPr>
                <w:rtl w:val="0"/>
              </w:rPr>
            </w:r>
          </w:p>
        </w:tc>
        <w:tc>
          <w:tcPr>
            <w:tcBorders>
              <w:top w:color="ffffff" w:space="0" w:sz="8" w:val="single"/>
              <w:left w:color="efefef" w:space="0" w:sz="8" w:val="single"/>
              <w:bottom w:color="ffffff" w:space="0" w:sz="8" w:val="single"/>
              <w:right w:color="fffff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color w:val="434343"/>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171450</wp:posOffset>
                  </wp:positionH>
                  <wp:positionV relativeFrom="paragraph">
                    <wp:posOffset>0</wp:posOffset>
                  </wp:positionV>
                  <wp:extent cx="1975013" cy="978363"/>
                  <wp:effectExtent b="0" l="0" r="0" t="0"/>
                  <wp:wrapSquare wrapText="bothSides" distB="0" distT="0" distL="114300" distR="114300"/>
                  <wp:docPr id="4" name="image2.png"/>
                  <a:graphic>
                    <a:graphicData uri="http://schemas.openxmlformats.org/drawingml/2006/picture">
                      <pic:pic>
                        <pic:nvPicPr>
                          <pic:cNvPr id="0" name="image2.png"/>
                          <pic:cNvPicPr preferRelativeResize="0"/>
                        </pic:nvPicPr>
                        <pic:blipFill>
                          <a:blip r:embed="rId25"/>
                          <a:srcRect b="0" l="2488" r="2488" t="0"/>
                          <a:stretch>
                            <a:fillRect/>
                          </a:stretch>
                        </pic:blipFill>
                        <pic:spPr>
                          <a:xfrm>
                            <a:off x="0" y="0"/>
                            <a:ext cx="1975013" cy="978363"/>
                          </a:xfrm>
                          <a:prstGeom prst="rect"/>
                          <a:ln/>
                        </pic:spPr>
                      </pic:pic>
                    </a:graphicData>
                  </a:graphic>
                </wp:anchor>
              </w:drawing>
            </w:r>
          </w:p>
        </w:tc>
      </w:tr>
    </w:tbl>
    <w:p w:rsidR="00000000" w:rsidDel="00000000" w:rsidP="00000000" w:rsidRDefault="00000000" w:rsidRPr="00000000" w14:paraId="0000006A">
      <w:pPr>
        <w:rPr>
          <w:rFonts w:ascii="Inter" w:cs="Inter" w:eastAsia="Inter" w:hAnsi="Inter"/>
          <w:color w:val="434343"/>
        </w:rPr>
      </w:pPr>
      <w:r w:rsidDel="00000000" w:rsidR="00000000" w:rsidRPr="00000000">
        <w:rPr>
          <w:rtl w:val="0"/>
        </w:rPr>
      </w:r>
    </w:p>
    <w:sectPr>
      <w:type w:val="continuous"/>
      <w:pgSz w:h="16834" w:w="11909" w:orient="portrait"/>
      <w:pgMar w:bottom="566.9291338582677" w:top="992.1259842519686" w:left="1247.2440944881891" w:right="1247.2440944881891" w:header="56.69291338582678" w:footer="566.9291338582677"/>
      <w:cols w:equalWidth="0" w:num="1">
        <w:col w:space="0" w:w="9411.02"/>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urier New"/>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D">
    <w:pPr>
      <w:spacing w:after="200" w:line="276.0005454545455" w:lineRule="auto"/>
      <w:ind w:left="0" w:firstLine="0"/>
      <w:rPr>
        <w:color w:val="58595b"/>
        <w:sz w:val="16"/>
        <w:szCs w:val="16"/>
      </w:rPr>
    </w:pPr>
    <w:r w:rsidDel="00000000" w:rsidR="00000000" w:rsidRPr="00000000">
      <w:rPr>
        <w:rtl w:val="0"/>
      </w:rPr>
    </w:r>
  </w:p>
  <w:p w:rsidR="00000000" w:rsidDel="00000000" w:rsidP="00000000" w:rsidRDefault="00000000" w:rsidRPr="00000000" w14:paraId="0000006E">
    <w:pPr>
      <w:spacing w:after="200" w:line="276.0005454545455" w:lineRule="auto"/>
      <w:jc w:val="right"/>
      <w:rPr>
        <w:sz w:val="16"/>
        <w:szCs w:val="16"/>
      </w:rPr>
    </w:pPr>
    <w:r w:rsidDel="00000000" w:rsidR="00000000" w:rsidRPr="00000000">
      <w:rPr>
        <w:sz w:val="16"/>
        <w:szCs w:val="16"/>
        <w:rtl w:val="0"/>
      </w:rPr>
      <w:t xml:space="preserve">* Wertpapierdienstleistungen werden ausschließlich von der regulierten Tochtergesellschaft, der Scalable Capital GmbH, erbracht.</w:t>
    </w:r>
  </w:p>
  <w:p w:rsidR="00000000" w:rsidDel="00000000" w:rsidP="00000000" w:rsidRDefault="00000000" w:rsidRPr="00000000" w14:paraId="0000006F">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0">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B">
    <w:pPr>
      <w:ind w:right="-466.062992125984"/>
      <w:jc w:val="left"/>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C">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4143375</wp:posOffset>
          </wp:positionH>
          <wp:positionV relativeFrom="paragraph">
            <wp:posOffset>-35999</wp:posOffset>
          </wp:positionV>
          <wp:extent cx="2060738" cy="1021169"/>
          <wp:effectExtent b="0" l="0" r="0" t="0"/>
          <wp:wrapSquare wrapText="bothSides" distB="0" distT="0" distL="114300" distR="114300"/>
          <wp:docPr id="5" name="image2.png"/>
          <a:graphic>
            <a:graphicData uri="http://schemas.openxmlformats.org/drawingml/2006/picture">
              <pic:pic>
                <pic:nvPicPr>
                  <pic:cNvPr id="0" name="image2.png"/>
                  <pic:cNvPicPr preferRelativeResize="0"/>
                </pic:nvPicPr>
                <pic:blipFill>
                  <a:blip r:embed="rId1"/>
                  <a:srcRect b="0" l="2488" r="2488" t="0"/>
                  <a:stretch>
                    <a:fillRect/>
                  </a:stretch>
                </pic:blipFill>
                <pic:spPr>
                  <a:xfrm>
                    <a:off x="0" y="0"/>
                    <a:ext cx="2060738" cy="1021169"/>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Noto Sans Symbols" w:cs="Noto Sans Symbols" w:eastAsia="Noto Sans Symbols" w:hAnsi="Noto Sans Symbols"/>
        <w:color w:val="595959"/>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bullet"/>
      <w:lvlText w:val="●"/>
      <w:lvlJc w:val="left"/>
      <w:pPr>
        <w:ind w:left="360" w:hanging="360"/>
      </w:pPr>
      <w:rPr>
        <w:rFonts w:ascii="Noto Sans Symbols" w:cs="Noto Sans Symbols" w:eastAsia="Noto Sans Symbols" w:hAnsi="Noto Sans Symbols"/>
        <w:color w:val="595959"/>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22" Type="http://schemas.openxmlformats.org/officeDocument/2006/relationships/hyperlink" Target="https://at.scalable.capital/" TargetMode="External"/><Relationship Id="rId21" Type="http://schemas.openxmlformats.org/officeDocument/2006/relationships/footer" Target="footer1.xml"/><Relationship Id="rId24" Type="http://schemas.openxmlformats.org/officeDocument/2006/relationships/hyperlink" Target="https://at.scalable.capital/" TargetMode="External"/><Relationship Id="rId23" Type="http://schemas.openxmlformats.org/officeDocument/2006/relationships/hyperlink" Target="mailto:presse@scalable.capita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25" Type="http://schemas.openxmlformats.org/officeDocument/2006/relationships/image" Target="media/image2.png"/><Relationship Id="rId5" Type="http://schemas.openxmlformats.org/officeDocument/2006/relationships/styles" Target="styles.xml"/><Relationship Id="rId6" Type="http://schemas.openxmlformats.org/officeDocument/2006/relationships/hyperlink" Target="https://www.linkedin.com/company/scalable-capital/" TargetMode="External"/><Relationship Id="rId7" Type="http://schemas.openxmlformats.org/officeDocument/2006/relationships/image" Target="media/image3.png"/><Relationship Id="rId8" Type="http://schemas.openxmlformats.org/officeDocument/2006/relationships/hyperlink" Target="https://www.instagram.com/scalable.capital/" TargetMode="External"/><Relationship Id="rId11" Type="http://schemas.openxmlformats.org/officeDocument/2006/relationships/image" Target="media/image7.png"/><Relationship Id="rId10" Type="http://schemas.openxmlformats.org/officeDocument/2006/relationships/hyperlink" Target="https://twitter.com/ScalableCapDACH" TargetMode="External"/><Relationship Id="rId13" Type="http://schemas.openxmlformats.org/officeDocument/2006/relationships/image" Target="media/image6.png"/><Relationship Id="rId12" Type="http://schemas.openxmlformats.org/officeDocument/2006/relationships/hyperlink" Target="https://www.facebook.com/de.scalable.capital/" TargetMode="External"/><Relationship Id="rId15" Type="http://schemas.openxmlformats.org/officeDocument/2006/relationships/image" Target="media/image1.png"/><Relationship Id="rId14" Type="http://schemas.openxmlformats.org/officeDocument/2006/relationships/hyperlink" Target="https://www.youtube.com/channel/UCMgHXMaWBphvL_9-s2RPh2g" TargetMode="External"/><Relationship Id="rId17" Type="http://schemas.openxmlformats.org/officeDocument/2006/relationships/image" Target="media/image5.png"/><Relationship Id="rId16" Type="http://schemas.openxmlformats.org/officeDocument/2006/relationships/hyperlink" Target="https://www.tiktok.com/@scalable.capital" TargetMode="External"/><Relationship Id="rId19" Type="http://schemas.openxmlformats.org/officeDocument/2006/relationships/header" Target="header2.xml"/><Relationship Id="rId1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Inter-regular.ttf"/><Relationship Id="rId6" Type="http://schemas.openxmlformats.org/officeDocument/2006/relationships/font" Target="fonts/Inter-bold.ttf"/><Relationship Id="rId7" Type="http://schemas.openxmlformats.org/officeDocument/2006/relationships/font" Target="fonts/Inter-italic.ttf"/><Relationship Id="rId8" Type="http://schemas.openxmlformats.org/officeDocument/2006/relationships/font" Target="fonts/Inter-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